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AF10" w14:textId="77777777" w:rsidR="00607AF8" w:rsidRDefault="00607AF8" w:rsidP="000C4468">
      <w:pPr>
        <w:pStyle w:val="Bezproreda"/>
        <w:spacing w:after="240"/>
        <w:jc w:val="both"/>
      </w:pPr>
    </w:p>
    <w:p w14:paraId="6A45C949" w14:textId="4225D417" w:rsidR="00607AF8" w:rsidRDefault="000C4468" w:rsidP="000C4468">
      <w:pPr>
        <w:pStyle w:val="Bezproreda"/>
        <w:jc w:val="both"/>
      </w:pPr>
      <w:r>
        <w:t>-</w:t>
      </w:r>
      <w:r w:rsidR="00CC67E0">
        <w:t xml:space="preserve">NACRT </w:t>
      </w:r>
      <w:r>
        <w:t>PRIJEDLOG</w:t>
      </w:r>
      <w:r w:rsidR="00CC67E0">
        <w:t>A</w:t>
      </w:r>
      <w:r>
        <w:t>-</w:t>
      </w:r>
    </w:p>
    <w:p w14:paraId="1247D282" w14:textId="77777777" w:rsidR="00607AF8" w:rsidRDefault="00607AF8" w:rsidP="00496857">
      <w:pPr>
        <w:pStyle w:val="Bezproreda"/>
        <w:jc w:val="both"/>
      </w:pPr>
    </w:p>
    <w:p w14:paraId="686388A9" w14:textId="1467AAA4" w:rsidR="00496857" w:rsidRPr="00B25803" w:rsidRDefault="00496857" w:rsidP="00B25803">
      <w:pPr>
        <w:pStyle w:val="Bezproreda"/>
        <w:jc w:val="both"/>
      </w:pPr>
      <w:r w:rsidRPr="00B25803">
        <w:t>KLASA</w:t>
      </w:r>
      <w:r w:rsidR="00EB033A">
        <w:t xml:space="preserve">: </w:t>
      </w:r>
    </w:p>
    <w:p w14:paraId="4D7EA784" w14:textId="169135F8" w:rsidR="00496857" w:rsidRPr="00B25803" w:rsidRDefault="00496857" w:rsidP="00B25803">
      <w:pPr>
        <w:pStyle w:val="Bezproreda"/>
        <w:jc w:val="both"/>
      </w:pPr>
      <w:proofErr w:type="spellStart"/>
      <w:r w:rsidRPr="00B25803">
        <w:t>URBRO</w:t>
      </w:r>
      <w:r w:rsidR="000C4468">
        <w:t>j</w:t>
      </w:r>
      <w:proofErr w:type="spellEnd"/>
      <w:r w:rsidR="000C4468">
        <w:t>:</w:t>
      </w:r>
    </w:p>
    <w:p w14:paraId="0EED50EB" w14:textId="198EF69A" w:rsidR="00496857" w:rsidRPr="00B25803" w:rsidRDefault="00496857" w:rsidP="00B25803">
      <w:pPr>
        <w:pStyle w:val="Bezproreda"/>
        <w:jc w:val="both"/>
      </w:pPr>
      <w:r w:rsidRPr="00B25803">
        <w:t xml:space="preserve">Otok, </w:t>
      </w:r>
      <w:r w:rsidR="000C4468">
        <w:t xml:space="preserve"> ……………… 202</w:t>
      </w:r>
      <w:r w:rsidR="00CC67E0">
        <w:t>5</w:t>
      </w:r>
      <w:r w:rsidR="000C4468">
        <w:t xml:space="preserve">. </w:t>
      </w:r>
      <w:r w:rsidR="00EB033A">
        <w:t>godine</w:t>
      </w:r>
    </w:p>
    <w:p w14:paraId="4145F24E" w14:textId="77777777" w:rsidR="00496857" w:rsidRPr="00B25803" w:rsidRDefault="00496857" w:rsidP="00B25803">
      <w:pPr>
        <w:pStyle w:val="Bezproreda"/>
        <w:jc w:val="both"/>
      </w:pPr>
    </w:p>
    <w:p w14:paraId="336D7740" w14:textId="647F5FD6" w:rsidR="00496857" w:rsidRPr="00B25803" w:rsidRDefault="00496857" w:rsidP="00B25803">
      <w:pPr>
        <w:pStyle w:val="Bezproreda"/>
        <w:jc w:val="both"/>
      </w:pPr>
      <w:r w:rsidRPr="00B25803">
        <w:t>Temeljem članka 21. Statuta Grada Otoka (Službeni vjesnik Vukovarsko-s</w:t>
      </w:r>
      <w:r w:rsidR="00374E5A" w:rsidRPr="00B25803">
        <w:t>rijemske županije broj 14/09, 4/13 i 6/18 i Služb</w:t>
      </w:r>
      <w:r w:rsidR="00E615DB">
        <w:t xml:space="preserve">eni vjesnik Grada Otoka 02/20, </w:t>
      </w:r>
      <w:r w:rsidR="00374E5A" w:rsidRPr="00B25803">
        <w:t>02/21</w:t>
      </w:r>
      <w:r w:rsidR="00E615DB">
        <w:t xml:space="preserve"> i 03/21-pročićeni tekst</w:t>
      </w:r>
      <w:r w:rsidRPr="00B25803">
        <w:t xml:space="preserve">) Gradsko vijeće Grada Otoka na </w:t>
      </w:r>
      <w:r w:rsidR="000C4468">
        <w:t>….</w:t>
      </w:r>
      <w:r w:rsidR="00EB033A">
        <w:t xml:space="preserve">. </w:t>
      </w:r>
      <w:r w:rsidR="00EB1678" w:rsidRPr="00B25803">
        <w:t>sjednici održanoj</w:t>
      </w:r>
      <w:r w:rsidR="00EB033A">
        <w:t xml:space="preserve"> </w:t>
      </w:r>
      <w:r w:rsidR="000C4468">
        <w:t>…………..</w:t>
      </w:r>
      <w:r w:rsidR="00EB033A">
        <w:t xml:space="preserve"> 202</w:t>
      </w:r>
      <w:r w:rsidR="00CC67E0">
        <w:t>5</w:t>
      </w:r>
      <w:r w:rsidR="00EB033A">
        <w:t>.</w:t>
      </w:r>
      <w:r w:rsidRPr="00B25803">
        <w:t xml:space="preserve"> godine, donosi</w:t>
      </w:r>
    </w:p>
    <w:p w14:paraId="09848EB9" w14:textId="77777777" w:rsidR="00496857" w:rsidRPr="00B25803" w:rsidRDefault="00496857" w:rsidP="00B25803">
      <w:pPr>
        <w:pStyle w:val="Bezproreda"/>
        <w:jc w:val="both"/>
      </w:pPr>
    </w:p>
    <w:p w14:paraId="3D63F2B9" w14:textId="3946FE70" w:rsidR="00496857" w:rsidRPr="00B25803" w:rsidRDefault="00496857" w:rsidP="00B25803">
      <w:pPr>
        <w:pStyle w:val="Bezproreda"/>
        <w:jc w:val="center"/>
        <w:rPr>
          <w:b/>
        </w:rPr>
      </w:pPr>
      <w:r w:rsidRPr="00B25803">
        <w:rPr>
          <w:b/>
        </w:rPr>
        <w:t xml:space="preserve">Plan upravljanja i raspolaganja </w:t>
      </w:r>
      <w:r w:rsidR="000C4468">
        <w:rPr>
          <w:b/>
        </w:rPr>
        <w:t>imovinom</w:t>
      </w:r>
    </w:p>
    <w:p w14:paraId="3E6380CB" w14:textId="3F00970B" w:rsidR="00496857" w:rsidRPr="00B25803" w:rsidRDefault="003F135E" w:rsidP="00B25803">
      <w:pPr>
        <w:pStyle w:val="Bezproreda"/>
        <w:jc w:val="center"/>
        <w:rPr>
          <w:b/>
        </w:rPr>
      </w:pPr>
      <w:r>
        <w:rPr>
          <w:b/>
        </w:rPr>
        <w:t>u vlasništvu Grada Otoka u 202</w:t>
      </w:r>
      <w:r w:rsidR="000C4468">
        <w:rPr>
          <w:b/>
        </w:rPr>
        <w:t>5</w:t>
      </w:r>
      <w:r w:rsidR="00374E5A" w:rsidRPr="00B25803">
        <w:rPr>
          <w:b/>
        </w:rPr>
        <w:t>.</w:t>
      </w:r>
      <w:r w:rsidR="00496857" w:rsidRPr="00B25803">
        <w:rPr>
          <w:b/>
        </w:rPr>
        <w:t xml:space="preserve"> godini</w:t>
      </w:r>
    </w:p>
    <w:p w14:paraId="0A50C092" w14:textId="77777777" w:rsidR="00496857" w:rsidRPr="00B25803" w:rsidRDefault="00496857" w:rsidP="00B25803">
      <w:pPr>
        <w:jc w:val="both"/>
        <w:rPr>
          <w:bCs/>
          <w:color w:val="000000"/>
        </w:rPr>
      </w:pPr>
    </w:p>
    <w:p w14:paraId="56F845D4" w14:textId="153E5201" w:rsidR="00374E5A" w:rsidRPr="00B25803" w:rsidRDefault="00374E5A" w:rsidP="00E45A21">
      <w:pPr>
        <w:jc w:val="both"/>
      </w:pPr>
      <w:r w:rsidRPr="00B25803">
        <w:t>Donošenje Godišnjeg plana upravljanja utvrđeno je člancima 15. i 19. Zakona o upravljanju državnom imovinom (»Narodne novine«, broj 52/18</w:t>
      </w:r>
      <w:r w:rsidR="0067089B">
        <w:t xml:space="preserve"> i 155/23</w:t>
      </w:r>
      <w:r w:rsidRPr="00B25803">
        <w:t>), gdje je propisana obveza donošenja Plana upravljanja imovinom u vlasništvu Republike Hrvatske. Kako se sukladno članku 35.st.8. Zakona o vlasništvu i drugim stvarnim pravima (»Narodne novine«, broj 91/96, 68/98, 22/00, 73/00, 129/00, 114/01, 79/06, 141/06, 146/08, 38/09, 153/09, 143/12, 152/14</w:t>
      </w:r>
      <w:r w:rsidR="00E615DB">
        <w:t xml:space="preserve"> </w:t>
      </w:r>
      <w:hyperlink r:id="rId8" w:tgtFrame="_blank" w:history="1">
        <w:r w:rsidR="00E615DB" w:rsidRPr="00924ED6">
          <w:rPr>
            <w:rStyle w:val="Hiperveza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81/15</w:t>
        </w:r>
      </w:hyperlink>
      <w:r w:rsidR="00E615DB" w:rsidRPr="00924ED6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9" w:tgtFrame="_blank" w:history="1">
        <w:r w:rsidR="00E615DB" w:rsidRPr="00924ED6">
          <w:rPr>
            <w:rStyle w:val="Hiperveza"/>
            <w:rFonts w:ascii="Arial" w:hAnsi="Arial" w:cs="Arial"/>
            <w:bCs/>
            <w:color w:val="000000" w:themeColor="text1"/>
            <w:sz w:val="20"/>
            <w:szCs w:val="20"/>
            <w:u w:val="none"/>
          </w:rPr>
          <w:t>94/17</w:t>
        </w:r>
      </w:hyperlink>
      <w:r w:rsidRPr="00924ED6">
        <w:rPr>
          <w:sz w:val="20"/>
          <w:szCs w:val="20"/>
        </w:rPr>
        <w:t>)</w:t>
      </w:r>
      <w:r w:rsidRPr="00B25803">
        <w:t xml:space="preserve"> na pravo vlasništva jedinica lokalne samouprave na odgovarajući način primjenjuju pravila o vlasništvu Republike Hrvatske, to se načelo upravljanja imovinom u vlasništvu Države treba dosljedno i u cijelosti primjenjivati i na imovinu jedinica lokalne samouprave. </w:t>
      </w:r>
    </w:p>
    <w:p w14:paraId="0D9BB6FA" w14:textId="1F06A9AC" w:rsidR="00374E5A" w:rsidRPr="0067089B" w:rsidRDefault="00374E5A" w:rsidP="00E45A21">
      <w:pPr>
        <w:jc w:val="both"/>
      </w:pPr>
      <w:r w:rsidRPr="0067089B">
        <w:t xml:space="preserve"> Plan upravljanja i raspolaga</w:t>
      </w:r>
      <w:r w:rsidR="00E615DB" w:rsidRPr="0067089B">
        <w:t>nja imovinom Grada Otoka za 202</w:t>
      </w:r>
      <w:r w:rsidR="000C4468" w:rsidRPr="0067089B">
        <w:t xml:space="preserve">5. </w:t>
      </w:r>
      <w:r w:rsidRPr="0067089B">
        <w:t>.godinu donosi se za potrebe Grada Otoka.</w:t>
      </w:r>
    </w:p>
    <w:p w14:paraId="29C749F2" w14:textId="7203DE51" w:rsidR="00440861" w:rsidRPr="00B25803" w:rsidRDefault="00374E5A" w:rsidP="00E45A21">
      <w:pPr>
        <w:jc w:val="both"/>
      </w:pPr>
      <w:r w:rsidRPr="003F6DE3">
        <w:t xml:space="preserve">Odluku o donošenju Plana upravljanja imovinom Grada Otoka donosi Gradsko vijeće na prijedlog Gradonačelnika. </w:t>
      </w:r>
      <w:r w:rsidR="00440861" w:rsidRPr="00B25803">
        <w:rPr>
          <w:color w:val="000000"/>
        </w:rPr>
        <w:t>Namjera je Plana popisati ciljeve upravljanja i raspolaganja gradskom imovinom, čija je održivost važna za život i rad postojećih i budućih naraštaja. Istodobno, cilj je Plana osigurati da imovina Grada Otoka bude u službi gospodarskog rasta te zaštite nacionalnih interesa.</w:t>
      </w:r>
    </w:p>
    <w:p w14:paraId="5D6C9A6F" w14:textId="77777777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>Upravljanje imovinom podrazumijeva pronalaženje optimalnih rješenja koja će dugoročno čuvati interese Grada i generirati gospodarski rast štiteći javni interes i pravično raspolaganje prirodnim bogatstvima, kulturnom i tradicijskom baštinom, i drugim resursima u vlasništvu Grada, kao i prihode koji se mogu koristiti za opće dobro.</w:t>
      </w:r>
    </w:p>
    <w:p w14:paraId="2A6D8624" w14:textId="5DA7EAA6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>Učinkovito upravljanje</w:t>
      </w:r>
      <w:r w:rsidR="00CA579B" w:rsidRPr="00B25803">
        <w:rPr>
          <w:color w:val="000000"/>
        </w:rPr>
        <w:t xml:space="preserve"> gradskom</w:t>
      </w:r>
      <w:r w:rsidRPr="00B25803">
        <w:rPr>
          <w:color w:val="000000"/>
        </w:rPr>
        <w:t xml:space="preserve"> imovinom poticat</w:t>
      </w:r>
      <w:r w:rsidR="00CA579B" w:rsidRPr="00B25803">
        <w:rPr>
          <w:color w:val="000000"/>
        </w:rPr>
        <w:t xml:space="preserve"> će</w:t>
      </w:r>
      <w:r w:rsidR="000C4468">
        <w:rPr>
          <w:color w:val="000000"/>
        </w:rPr>
        <w:t xml:space="preserve"> </w:t>
      </w:r>
      <w:r w:rsidR="00CA579B" w:rsidRPr="00B25803">
        <w:rPr>
          <w:color w:val="000000"/>
        </w:rPr>
        <w:t xml:space="preserve">održivi </w:t>
      </w:r>
      <w:r w:rsidRPr="00B25803">
        <w:rPr>
          <w:color w:val="000000"/>
        </w:rPr>
        <w:t>razvoj gospodarstva i pridonosi</w:t>
      </w:r>
      <w:r w:rsidR="00CA579B" w:rsidRPr="00B25803">
        <w:rPr>
          <w:color w:val="000000"/>
        </w:rPr>
        <w:t>ti</w:t>
      </w:r>
      <w:r w:rsidRPr="00B25803">
        <w:rPr>
          <w:color w:val="000000"/>
        </w:rPr>
        <w:t xml:space="preserve"> boljoj kval</w:t>
      </w:r>
      <w:r w:rsidR="00CA579B" w:rsidRPr="00B25803">
        <w:rPr>
          <w:color w:val="000000"/>
        </w:rPr>
        <w:t>iteti života svih građana</w:t>
      </w:r>
      <w:r w:rsidRPr="00B25803">
        <w:rPr>
          <w:color w:val="000000"/>
        </w:rPr>
        <w:t>.</w:t>
      </w:r>
    </w:p>
    <w:p w14:paraId="46BFE98C" w14:textId="77777777" w:rsidR="00440861" w:rsidRPr="00B25803" w:rsidRDefault="00C22300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t>Pravni okvir:</w:t>
      </w:r>
    </w:p>
    <w:p w14:paraId="4B6F6ADD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vlasništvu i drugim stvarnim pravima (NN, br. 91/96., 68/98., 137/99., 22/00., 73/00., 114/01., 79/06., 141/06., 146/08., 38/09., 153/09., 143/12 i 152/14</w:t>
      </w:r>
      <w:r w:rsidR="00E615DB">
        <w:rPr>
          <w:rFonts w:asciiTheme="minorHAnsi" w:hAnsiTheme="minorHAnsi"/>
          <w:sz w:val="22"/>
          <w:szCs w:val="22"/>
        </w:rPr>
        <w:t xml:space="preserve">, </w:t>
      </w:r>
      <w:hyperlink r:id="rId10" w:tgtFrame="_blank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81/15</w:t>
        </w:r>
      </w:hyperlink>
      <w:r w:rsidR="00E615DB" w:rsidRPr="00E615DB">
        <w:rPr>
          <w:rFonts w:ascii="Arial" w:hAnsi="Arial" w:cs="Arial"/>
          <w:color w:val="000000" w:themeColor="text1"/>
          <w:sz w:val="22"/>
          <w:szCs w:val="22"/>
        </w:rPr>
        <w:t>, </w:t>
      </w:r>
      <w:hyperlink r:id="rId11" w:tgtFrame="_blank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94/17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0C63734F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zemljišnim knjigama (NN, br.</w:t>
      </w:r>
      <w:r w:rsidR="00E615DB" w:rsidRPr="00E615DB">
        <w:t xml:space="preserve"> </w:t>
      </w:r>
      <w:hyperlink r:id="rId12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17"/>
            <w:szCs w:val="17"/>
          </w:rPr>
          <w:t>63/19</w:t>
        </w:r>
      </w:hyperlink>
      <w:r w:rsidR="00E615DB" w:rsidRPr="00E615DB">
        <w:rPr>
          <w:rFonts w:ascii="Arial" w:hAnsi="Arial" w:cs="Arial"/>
          <w:color w:val="000000" w:themeColor="text1"/>
          <w:sz w:val="17"/>
          <w:szCs w:val="17"/>
          <w:u w:val="single"/>
        </w:rPr>
        <w:t>, </w:t>
      </w:r>
      <w:hyperlink r:id="rId13" w:history="1">
        <w:r w:rsidR="00E615DB" w:rsidRPr="00E615DB">
          <w:rPr>
            <w:rStyle w:val="Hiperveza"/>
            <w:rFonts w:ascii="Arial" w:hAnsi="Arial" w:cs="Arial"/>
            <w:bCs/>
            <w:color w:val="000000" w:themeColor="text1"/>
            <w:sz w:val="17"/>
            <w:szCs w:val="17"/>
          </w:rPr>
          <w:t>128/22</w:t>
        </w:r>
      </w:hyperlink>
      <w:r w:rsidRPr="00E615DB">
        <w:rPr>
          <w:rFonts w:asciiTheme="minorHAnsi" w:hAnsiTheme="minorHAnsi"/>
          <w:color w:val="000000" w:themeColor="text1"/>
          <w:sz w:val="22"/>
          <w:szCs w:val="22"/>
          <w:u w:val="single"/>
        </w:rPr>
        <w:t>.)</w:t>
      </w:r>
    </w:p>
    <w:p w14:paraId="5E4B5B10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prostornom uređenju (NN, br. 153/13.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14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65/17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5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114/18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6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39/19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7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98/19</w:t>
        </w:r>
      </w:hyperlink>
      <w:r w:rsidR="003F135E">
        <w:t>, 67/23</w:t>
      </w:r>
      <w:r w:rsidR="00374E5A" w:rsidRPr="00B25803">
        <w:rPr>
          <w:rFonts w:ascii="Calibri" w:hAnsi="Calibri" w:cs="Calibri"/>
          <w:sz w:val="22"/>
          <w:szCs w:val="22"/>
        </w:rPr>
        <w:t>)</w:t>
      </w:r>
    </w:p>
    <w:p w14:paraId="0BF16BF4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gradnji (NN, br. 153/13.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18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20/17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19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39/19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20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125/19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47C71BC6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najmu stanova (N</w:t>
      </w:r>
      <w:r w:rsidR="00374E5A" w:rsidRPr="00B25803">
        <w:rPr>
          <w:rFonts w:asciiTheme="minorHAnsi" w:hAnsiTheme="minorHAnsi"/>
          <w:sz w:val="22"/>
          <w:szCs w:val="22"/>
        </w:rPr>
        <w:t xml:space="preserve">N, br. 91/96., 48/98., 66/98., </w:t>
      </w:r>
      <w:r w:rsidR="00EB1678" w:rsidRPr="00B25803">
        <w:rPr>
          <w:rFonts w:asciiTheme="minorHAnsi" w:hAnsiTheme="minorHAnsi"/>
          <w:sz w:val="22"/>
          <w:szCs w:val="22"/>
        </w:rPr>
        <w:t>1</w:t>
      </w:r>
      <w:r w:rsidRPr="00B25803">
        <w:rPr>
          <w:rFonts w:asciiTheme="minorHAnsi" w:hAnsiTheme="minorHAnsi"/>
          <w:sz w:val="22"/>
          <w:szCs w:val="22"/>
        </w:rPr>
        <w:t>22/06.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21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68/18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22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105/20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3C81543F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Uredba o uvjetima i mjerilima za utvrđivanje zaštićene najamnine (NN, br. 40/97. i 117/05.)</w:t>
      </w:r>
    </w:p>
    <w:p w14:paraId="4889BC25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lastRenderedPageBreak/>
        <w:t>Zakon o prodaji stanova na kojima postoji stanarsko pravo (NN, br. 43/92., 69/92., 87/92., 25/93., 26/93., 48/93., 2/94., 44/94., 47/94., 58/95., 103/95., 11/96., 76/96., 111/96., 11/97., 103/97., 119/97., 68/98., 163/98., 22/99., 96/99., 120/00., 94/01. i 78/02.)</w:t>
      </w:r>
    </w:p>
    <w:p w14:paraId="6703A750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obveznim od</w:t>
      </w:r>
      <w:r w:rsidR="00374E5A" w:rsidRPr="00B25803">
        <w:rPr>
          <w:rFonts w:asciiTheme="minorHAnsi" w:hAnsiTheme="minorHAnsi"/>
          <w:sz w:val="22"/>
          <w:szCs w:val="22"/>
        </w:rPr>
        <w:t xml:space="preserve">nosima (NN, br. 35/05., 41/08., </w:t>
      </w:r>
      <w:r w:rsidRPr="00B25803">
        <w:rPr>
          <w:rFonts w:asciiTheme="minorHAnsi" w:hAnsiTheme="minorHAnsi"/>
          <w:sz w:val="22"/>
          <w:szCs w:val="22"/>
        </w:rPr>
        <w:t>125/11.</w:t>
      </w:r>
      <w:r w:rsidR="00374E5A" w:rsidRPr="00B25803">
        <w:rPr>
          <w:rFonts w:asciiTheme="minorHAnsi" w:hAnsiTheme="minorHAnsi"/>
          <w:sz w:val="22"/>
          <w:szCs w:val="22"/>
        </w:rPr>
        <w:t xml:space="preserve">, </w:t>
      </w:r>
      <w:hyperlink r:id="rId23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78/15</w:t>
        </w:r>
      </w:hyperlink>
      <w:r w:rsidR="00374E5A" w:rsidRPr="00B25803">
        <w:rPr>
          <w:rFonts w:ascii="Calibri" w:hAnsi="Calibri" w:cs="Calibri"/>
          <w:sz w:val="22"/>
          <w:szCs w:val="22"/>
        </w:rPr>
        <w:t>, </w:t>
      </w:r>
      <w:hyperlink r:id="rId24" w:tgtFrame="_blank" w:history="1">
        <w:r w:rsidR="00374E5A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29/18</w:t>
        </w:r>
      </w:hyperlink>
      <w:r w:rsidR="00E615DB">
        <w:t xml:space="preserve">, </w:t>
      </w:r>
      <w:r w:rsidR="00E615DB" w:rsidRPr="00E615DB">
        <w:rPr>
          <w:rFonts w:ascii="Arial" w:hAnsi="Arial" w:cs="Arial"/>
          <w:color w:val="000000" w:themeColor="text1"/>
          <w:sz w:val="17"/>
          <w:szCs w:val="17"/>
        </w:rPr>
        <w:t>, </w:t>
      </w:r>
      <w:hyperlink r:id="rId25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126/21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26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27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156/22</w:t>
        </w:r>
      </w:hyperlink>
      <w:r w:rsidRPr="00E615DB">
        <w:rPr>
          <w:rFonts w:ascii="Calibri" w:hAnsi="Calibri" w:cs="Calibri"/>
          <w:sz w:val="22"/>
          <w:szCs w:val="22"/>
        </w:rPr>
        <w:t>)</w:t>
      </w:r>
    </w:p>
    <w:p w14:paraId="12369A08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postupanju s nezakonito izgrađenim zgrad</w:t>
      </w:r>
      <w:r w:rsidR="00CE4843" w:rsidRPr="00B25803">
        <w:rPr>
          <w:rFonts w:asciiTheme="minorHAnsi" w:hAnsiTheme="minorHAnsi"/>
          <w:sz w:val="22"/>
          <w:szCs w:val="22"/>
        </w:rPr>
        <w:t xml:space="preserve">ama (NN, broj 86/12., </w:t>
      </w:r>
      <w:r w:rsidRPr="00B25803">
        <w:rPr>
          <w:rFonts w:asciiTheme="minorHAnsi" w:hAnsiTheme="minorHAnsi"/>
          <w:sz w:val="22"/>
          <w:szCs w:val="22"/>
        </w:rPr>
        <w:t>143/13.</w:t>
      </w:r>
      <w:r w:rsidR="00CE4843" w:rsidRPr="00B25803">
        <w:rPr>
          <w:rFonts w:asciiTheme="minorHAnsi" w:hAnsiTheme="minorHAnsi"/>
          <w:sz w:val="22"/>
          <w:szCs w:val="22"/>
        </w:rPr>
        <w:t>, 65/17 i 14/19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53BFE2F2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zaštiti i očuvanju kulturnih dobara (NN, br. 69/99., 151/03., 157/03., 100/04., 87/09., 88/10., 61/1</w:t>
      </w:r>
      <w:r w:rsidR="00CE4843" w:rsidRPr="00B25803">
        <w:rPr>
          <w:rFonts w:asciiTheme="minorHAnsi" w:hAnsiTheme="minorHAnsi"/>
          <w:sz w:val="22"/>
          <w:szCs w:val="22"/>
        </w:rPr>
        <w:t xml:space="preserve">1., 25/12. i 136/12., 157/13., </w:t>
      </w:r>
      <w:r w:rsidRPr="00B25803">
        <w:rPr>
          <w:rFonts w:asciiTheme="minorHAnsi" w:hAnsiTheme="minorHAnsi"/>
          <w:sz w:val="22"/>
          <w:szCs w:val="22"/>
        </w:rPr>
        <w:t>152/14</w:t>
      </w:r>
      <w:r w:rsidRPr="00B25803">
        <w:rPr>
          <w:rFonts w:ascii="Calibri" w:hAnsi="Calibri" w:cs="Calibri"/>
          <w:sz w:val="22"/>
          <w:szCs w:val="22"/>
        </w:rPr>
        <w:t>.</w:t>
      </w:r>
      <w:r w:rsidR="00CE4843" w:rsidRPr="00B25803">
        <w:rPr>
          <w:rFonts w:ascii="Calibri" w:hAnsi="Calibri" w:cs="Calibri"/>
          <w:sz w:val="22"/>
          <w:szCs w:val="22"/>
        </w:rPr>
        <w:t>,  </w:t>
      </w:r>
      <w:hyperlink r:id="rId28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98/15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29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44/17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30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90/18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31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32/20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32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62/20</w:t>
        </w:r>
      </w:hyperlink>
      <w:r w:rsidR="00E615DB">
        <w:t xml:space="preserve">, </w:t>
      </w:r>
      <w:hyperlink r:id="rId33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117/21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4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0372470B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državnoj izmjeri i katastru nekretnina (NN, br.</w:t>
      </w:r>
      <w:r w:rsidR="00CE4843" w:rsidRPr="00B25803">
        <w:rPr>
          <w:rFonts w:asciiTheme="minorHAnsi" w:hAnsiTheme="minorHAnsi"/>
          <w:sz w:val="22"/>
          <w:szCs w:val="22"/>
        </w:rPr>
        <w:t xml:space="preserve"> 112/18</w:t>
      </w:r>
      <w:r w:rsidRPr="00B25803">
        <w:rPr>
          <w:rFonts w:asciiTheme="minorHAnsi" w:hAnsiTheme="minorHAnsi"/>
          <w:sz w:val="22"/>
          <w:szCs w:val="22"/>
        </w:rPr>
        <w:t>.)</w:t>
      </w:r>
    </w:p>
    <w:p w14:paraId="521C1E67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zakupu i kupoprodaji poslovnog prostora (NN, broj 125/11, 64/15.</w:t>
      </w:r>
      <w:r w:rsidR="00CE4843" w:rsidRPr="00B25803">
        <w:rPr>
          <w:rFonts w:asciiTheme="minorHAnsi" w:hAnsiTheme="minorHAnsi"/>
          <w:sz w:val="22"/>
          <w:szCs w:val="22"/>
        </w:rPr>
        <w:t>, i 112/18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1BC7321B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procjeni vrijednosti nekretnina (NN, broj 78/15.)</w:t>
      </w:r>
    </w:p>
    <w:p w14:paraId="43DA03BC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cestama (NN, broj 8</w:t>
      </w:r>
      <w:r w:rsidR="00CE4843" w:rsidRPr="00B25803">
        <w:rPr>
          <w:rFonts w:asciiTheme="minorHAnsi" w:hAnsiTheme="minorHAnsi"/>
          <w:sz w:val="22"/>
          <w:szCs w:val="22"/>
        </w:rPr>
        <w:t xml:space="preserve">4/11., 22/13., 54/13., 148/13., </w:t>
      </w:r>
      <w:r w:rsidR="00E615DB">
        <w:rPr>
          <w:rFonts w:asciiTheme="minorHAnsi" w:hAnsiTheme="minorHAnsi"/>
          <w:sz w:val="22"/>
          <w:szCs w:val="22"/>
        </w:rPr>
        <w:t xml:space="preserve"> 92/14, </w:t>
      </w:r>
      <w:r w:rsidR="00CE4843" w:rsidRPr="00B25803">
        <w:rPr>
          <w:rFonts w:asciiTheme="minorHAnsi" w:hAnsiTheme="minorHAnsi"/>
          <w:sz w:val="22"/>
          <w:szCs w:val="22"/>
        </w:rPr>
        <w:t>110/19</w:t>
      </w:r>
      <w:r w:rsidR="00E615DB">
        <w:rPr>
          <w:rFonts w:asciiTheme="minorHAnsi" w:hAnsiTheme="minorHAnsi"/>
          <w:sz w:val="22"/>
          <w:szCs w:val="22"/>
        </w:rPr>
        <w:t xml:space="preserve"> </w:t>
      </w:r>
      <w:hyperlink r:id="rId35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144/21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6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7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114/22</w:t>
        </w:r>
      </w:hyperlink>
      <w:r w:rsidR="00E615DB" w:rsidRPr="00E615DB">
        <w:rPr>
          <w:rFonts w:ascii="Calibri" w:hAnsi="Calibri" w:cs="Calibri"/>
          <w:color w:val="000000" w:themeColor="text1"/>
          <w:sz w:val="22"/>
          <w:szCs w:val="22"/>
        </w:rPr>
        <w:t>, </w:t>
      </w:r>
      <w:hyperlink r:id="rId38" w:tgtFrame="_blank" w:history="1">
        <w:r w:rsidR="00E615DB" w:rsidRPr="00E615DB">
          <w:rPr>
            <w:rStyle w:val="Hiperveza"/>
            <w:rFonts w:ascii="Calibri" w:hAnsi="Calibri" w:cs="Calibri"/>
            <w:bCs/>
            <w:color w:val="000000" w:themeColor="text1"/>
            <w:sz w:val="22"/>
            <w:szCs w:val="22"/>
            <w:u w:val="none"/>
          </w:rPr>
          <w:t>04/23</w:t>
        </w:r>
      </w:hyperlink>
      <w:r w:rsidR="003F135E">
        <w:t>, 133/23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1DCE198B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izvlaštenju i određivanju naknade (NN, broj 74/2014</w:t>
      </w:r>
      <w:r w:rsidR="00CE4843" w:rsidRPr="00B25803">
        <w:rPr>
          <w:rFonts w:asciiTheme="minorHAnsi" w:hAnsiTheme="minorHAnsi"/>
          <w:sz w:val="22"/>
          <w:szCs w:val="22"/>
        </w:rPr>
        <w:t xml:space="preserve">, </w:t>
      </w:r>
      <w:hyperlink r:id="rId39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69/17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0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98/19</w:t>
        </w:r>
      </w:hyperlink>
      <w:r w:rsidRPr="00B25803">
        <w:rPr>
          <w:rFonts w:asciiTheme="minorHAnsi" w:hAnsiTheme="minorHAnsi"/>
          <w:sz w:val="22"/>
          <w:szCs w:val="22"/>
        </w:rPr>
        <w:t>)</w:t>
      </w:r>
    </w:p>
    <w:p w14:paraId="06B69F99" w14:textId="77777777" w:rsidR="00C22300" w:rsidRPr="00B25803" w:rsidRDefault="00C22300" w:rsidP="00B25803">
      <w:pPr>
        <w:pStyle w:val="Odlomakpopisa"/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Zakon o lokalnoj i područnoj (regionalnoj) samoupravi (NN, broj 33/01, 60/01, 129/05, 109/07, 36/09</w:t>
      </w:r>
      <w:r w:rsidR="00CE4843" w:rsidRPr="00B25803">
        <w:rPr>
          <w:rFonts w:asciiTheme="minorHAnsi" w:hAnsiTheme="minorHAnsi"/>
          <w:sz w:val="22"/>
          <w:szCs w:val="22"/>
        </w:rPr>
        <w:t>, 125/08, 36/09, 150/11, 144/12,</w:t>
      </w:r>
      <w:hyperlink r:id="rId41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19/13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2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137/15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3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123/17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4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98/19</w:t>
        </w:r>
      </w:hyperlink>
      <w:r w:rsidR="00CE4843" w:rsidRPr="00B25803">
        <w:rPr>
          <w:rFonts w:ascii="Calibri" w:hAnsi="Calibri" w:cs="Calibri"/>
          <w:sz w:val="22"/>
          <w:szCs w:val="22"/>
        </w:rPr>
        <w:t>, </w:t>
      </w:r>
      <w:hyperlink r:id="rId45" w:tgtFrame="_blank" w:history="1">
        <w:r w:rsidR="00CE4843" w:rsidRPr="00B25803">
          <w:rPr>
            <w:rStyle w:val="Hiperveza"/>
            <w:rFonts w:ascii="Calibri" w:hAnsi="Calibri" w:cs="Calibri"/>
            <w:bCs/>
            <w:color w:val="auto"/>
            <w:sz w:val="22"/>
            <w:szCs w:val="22"/>
            <w:u w:val="none"/>
          </w:rPr>
          <w:t>144/20</w:t>
        </w:r>
      </w:hyperlink>
      <w:r w:rsidR="00CE4843" w:rsidRPr="00B25803">
        <w:rPr>
          <w:rFonts w:ascii="Calibri" w:hAnsi="Calibri" w:cs="Calibri"/>
          <w:sz w:val="22"/>
          <w:szCs w:val="22"/>
        </w:rPr>
        <w:t>)</w:t>
      </w:r>
    </w:p>
    <w:p w14:paraId="2715699B" w14:textId="77777777" w:rsidR="00C22300" w:rsidRPr="00B25803" w:rsidRDefault="00607AF8" w:rsidP="00B25803">
      <w:pPr>
        <w:jc w:val="both"/>
        <w:rPr>
          <w:rFonts w:cs="Times New Roman"/>
        </w:rPr>
      </w:pPr>
      <w:r w:rsidRPr="00B25803">
        <w:rPr>
          <w:rFonts w:cs="Times New Roman"/>
          <w:b/>
        </w:rPr>
        <w:t>Akti Grada Otoka</w:t>
      </w:r>
      <w:r w:rsidRPr="00B25803">
        <w:rPr>
          <w:rFonts w:cs="Times New Roman"/>
        </w:rPr>
        <w:t>:</w:t>
      </w:r>
    </w:p>
    <w:p w14:paraId="7B811B8C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Statut Grad Otok (Službeni  vjesnik  Županije V</w:t>
      </w:r>
      <w:r w:rsidR="00CE4843" w:rsidRPr="00B25803">
        <w:rPr>
          <w:rFonts w:asciiTheme="minorHAnsi" w:hAnsiTheme="minorHAnsi"/>
          <w:sz w:val="22"/>
          <w:szCs w:val="22"/>
        </w:rPr>
        <w:t>ukovarsko-srijemske  br. 14/09,</w:t>
      </w:r>
      <w:r w:rsidRPr="00B25803">
        <w:rPr>
          <w:rFonts w:asciiTheme="minorHAnsi" w:hAnsiTheme="minorHAnsi"/>
          <w:sz w:val="22"/>
          <w:szCs w:val="22"/>
        </w:rPr>
        <w:t xml:space="preserve"> 4/13</w:t>
      </w:r>
      <w:r w:rsidR="00CE4843" w:rsidRPr="00B25803">
        <w:rPr>
          <w:rFonts w:asciiTheme="minorHAnsi" w:hAnsiTheme="minorHAnsi"/>
          <w:sz w:val="22"/>
          <w:szCs w:val="22"/>
        </w:rPr>
        <w:t xml:space="preserve"> i 6/18 i Službeni v</w:t>
      </w:r>
      <w:r w:rsidR="00E615DB">
        <w:rPr>
          <w:rFonts w:asciiTheme="minorHAnsi" w:hAnsiTheme="minorHAnsi"/>
          <w:sz w:val="22"/>
          <w:szCs w:val="22"/>
        </w:rPr>
        <w:t xml:space="preserve">jesnik Grada Otoka broj 02/20, </w:t>
      </w:r>
      <w:r w:rsidR="00CE4843" w:rsidRPr="00B25803">
        <w:rPr>
          <w:rFonts w:asciiTheme="minorHAnsi" w:hAnsiTheme="minorHAnsi"/>
          <w:sz w:val="22"/>
          <w:szCs w:val="22"/>
        </w:rPr>
        <w:t>02/21</w:t>
      </w:r>
      <w:r w:rsidR="00E615DB">
        <w:rPr>
          <w:rFonts w:asciiTheme="minorHAnsi" w:hAnsiTheme="minorHAnsi"/>
          <w:sz w:val="22"/>
          <w:szCs w:val="22"/>
        </w:rPr>
        <w:t xml:space="preserve"> i 03/21-pročišćeni tekst</w:t>
      </w:r>
      <w:r w:rsidRPr="00B25803">
        <w:rPr>
          <w:rFonts w:asciiTheme="minorHAnsi" w:hAnsiTheme="minorHAnsi"/>
          <w:sz w:val="22"/>
          <w:szCs w:val="22"/>
        </w:rPr>
        <w:t>)</w:t>
      </w:r>
    </w:p>
    <w:p w14:paraId="230ACB90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Odluka o raspolaganju nekretninama u vlasništvu grada Otok (Službeni  vjesnik  županije Vukovarsko-srijemske  br. 12/15)</w:t>
      </w:r>
    </w:p>
    <w:p w14:paraId="703016F8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Odluka o zakupu i kupoprodaji poslovnih prostora (Službeni  vjesnik  županije Vukovarsko-srijemske  br. 18/11)</w:t>
      </w:r>
    </w:p>
    <w:p w14:paraId="7FEE291E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Odluka o kriterijima za utvrđivanje visine zakupnine za zakup poslovnog prostora u vlasništvu Grada Otok (Službeni vjesnik županije Vukovarsko-srijemske br. 6/14)</w:t>
      </w:r>
    </w:p>
    <w:p w14:paraId="6EAC5C02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Sporazum o preuzimanju nekretnina, pokretnina, financijskih sredstava te prava i obveza</w:t>
      </w:r>
      <w:r w:rsidR="00CE4843" w:rsidRPr="00B25803">
        <w:rPr>
          <w:rFonts w:asciiTheme="minorHAnsi" w:hAnsiTheme="minorHAnsi"/>
          <w:sz w:val="22"/>
          <w:szCs w:val="22"/>
        </w:rPr>
        <w:t xml:space="preserve"> </w:t>
      </w:r>
      <w:r w:rsidRPr="00B25803">
        <w:rPr>
          <w:rFonts w:asciiTheme="minorHAnsi" w:hAnsiTheme="minorHAnsi"/>
          <w:sz w:val="22"/>
          <w:szCs w:val="22"/>
        </w:rPr>
        <w:t xml:space="preserve">bivše općine Vinkovci </w:t>
      </w:r>
    </w:p>
    <w:p w14:paraId="65529928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Program razvoja Poduzetničke zone Otok</w:t>
      </w:r>
    </w:p>
    <w:p w14:paraId="2CCA8B0B" w14:textId="77777777" w:rsidR="00C22300" w:rsidRPr="00B25803" w:rsidRDefault="00C22300" w:rsidP="00B25803">
      <w:pPr>
        <w:pStyle w:val="Odlomakpopisa"/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sz w:val="22"/>
          <w:szCs w:val="22"/>
        </w:rPr>
        <w:t>Strategija upravljanja i raspolaganja nekretninama u vlasništ</w:t>
      </w:r>
      <w:r w:rsidR="00E615DB">
        <w:rPr>
          <w:rFonts w:asciiTheme="minorHAnsi" w:hAnsiTheme="minorHAnsi"/>
          <w:sz w:val="22"/>
          <w:szCs w:val="22"/>
        </w:rPr>
        <w:t>vu Grada Otoka za razdoblje 2023</w:t>
      </w:r>
      <w:r w:rsidRPr="00B25803">
        <w:rPr>
          <w:rFonts w:asciiTheme="minorHAnsi" w:hAnsiTheme="minorHAnsi"/>
          <w:sz w:val="22"/>
          <w:szCs w:val="22"/>
        </w:rPr>
        <w:t xml:space="preserve">. </w:t>
      </w:r>
      <w:r w:rsidR="00E615DB">
        <w:rPr>
          <w:rFonts w:asciiTheme="minorHAnsi" w:hAnsiTheme="minorHAnsi"/>
          <w:sz w:val="22"/>
          <w:szCs w:val="22"/>
        </w:rPr>
        <w:t>- 2028</w:t>
      </w:r>
      <w:r w:rsidRPr="00B25803">
        <w:rPr>
          <w:rFonts w:asciiTheme="minorHAnsi" w:hAnsiTheme="minorHAnsi"/>
          <w:sz w:val="22"/>
          <w:szCs w:val="22"/>
        </w:rPr>
        <w:t>.</w:t>
      </w:r>
    </w:p>
    <w:p w14:paraId="7144F3F8" w14:textId="77777777" w:rsidR="00CE4843" w:rsidRPr="00B25803" w:rsidRDefault="00CE4843" w:rsidP="00B25803">
      <w:pPr>
        <w:pStyle w:val="Odlomakpopisa"/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D505C2A" w14:textId="77777777" w:rsidR="00440861" w:rsidRPr="00B25803" w:rsidRDefault="00440861" w:rsidP="00B25803">
      <w:pPr>
        <w:jc w:val="both"/>
        <w:rPr>
          <w:b/>
          <w:color w:val="000000"/>
        </w:rPr>
      </w:pPr>
      <w:r w:rsidRPr="00B25803">
        <w:rPr>
          <w:b/>
          <w:color w:val="000000"/>
        </w:rPr>
        <w:t>Plan investicija:</w:t>
      </w:r>
    </w:p>
    <w:p w14:paraId="0EECA6D4" w14:textId="7129E4D0" w:rsidR="00440861" w:rsidRPr="00B25803" w:rsidRDefault="003F135E" w:rsidP="00E45A21">
      <w:pPr>
        <w:jc w:val="both"/>
        <w:rPr>
          <w:color w:val="000000"/>
        </w:rPr>
      </w:pPr>
      <w:r>
        <w:rPr>
          <w:color w:val="000000"/>
        </w:rPr>
        <w:t>U 202</w:t>
      </w:r>
      <w:r w:rsidR="000C4468">
        <w:rPr>
          <w:color w:val="000000"/>
        </w:rPr>
        <w:t>5</w:t>
      </w:r>
      <w:r w:rsidR="00CA579B" w:rsidRPr="00B25803">
        <w:rPr>
          <w:color w:val="000000"/>
        </w:rPr>
        <w:t>. godini</w:t>
      </w:r>
      <w:r w:rsidR="00440861" w:rsidRPr="00B25803">
        <w:rPr>
          <w:color w:val="000000"/>
        </w:rPr>
        <w:t xml:space="preserve"> iz proračuna </w:t>
      </w:r>
      <w:r w:rsidR="00CA579B" w:rsidRPr="00B25803">
        <w:rPr>
          <w:color w:val="000000"/>
        </w:rPr>
        <w:t>Grada Otoka</w:t>
      </w:r>
      <w:r w:rsidR="00CE4843" w:rsidRPr="00B25803">
        <w:rPr>
          <w:color w:val="000000"/>
        </w:rPr>
        <w:t xml:space="preserve"> </w:t>
      </w:r>
      <w:r w:rsidR="00CA579B" w:rsidRPr="00B25803">
        <w:rPr>
          <w:color w:val="000000"/>
        </w:rPr>
        <w:t>planira se</w:t>
      </w:r>
      <w:r w:rsidR="00440861" w:rsidRPr="00B25803">
        <w:rPr>
          <w:color w:val="000000"/>
        </w:rPr>
        <w:t xml:space="preserve"> investirati oko </w:t>
      </w:r>
      <w:r w:rsidR="000C4468">
        <w:rPr>
          <w:color w:val="000000"/>
        </w:rPr>
        <w:t>5</w:t>
      </w:r>
      <w:r w:rsidR="00672E81">
        <w:rPr>
          <w:color w:val="000000"/>
        </w:rPr>
        <w:t>0</w:t>
      </w:r>
      <w:r w:rsidR="00440861" w:rsidRPr="00B25803">
        <w:rPr>
          <w:color w:val="000000"/>
        </w:rPr>
        <w:t xml:space="preserve">% ukupnih prihoda </w:t>
      </w:r>
      <w:r w:rsidR="00CA579B" w:rsidRPr="00B25803">
        <w:rPr>
          <w:color w:val="000000"/>
        </w:rPr>
        <w:t xml:space="preserve">i primitaka </w:t>
      </w:r>
      <w:r w:rsidR="00440861" w:rsidRPr="00B25803">
        <w:rPr>
          <w:color w:val="000000"/>
        </w:rPr>
        <w:t>i to: u rekonstrukcij</w:t>
      </w:r>
      <w:r w:rsidR="00CA579B" w:rsidRPr="00B25803">
        <w:rPr>
          <w:color w:val="000000"/>
        </w:rPr>
        <w:t>u</w:t>
      </w:r>
      <w:r w:rsidR="00440861" w:rsidRPr="00B25803">
        <w:rPr>
          <w:color w:val="000000"/>
        </w:rPr>
        <w:t xml:space="preserve"> lokalnih cesta i </w:t>
      </w:r>
      <w:r w:rsidR="000C4468">
        <w:rPr>
          <w:color w:val="000000"/>
        </w:rPr>
        <w:t xml:space="preserve">pješačkih i biciklističkih </w:t>
      </w:r>
      <w:r w:rsidR="00440861" w:rsidRPr="00B25803">
        <w:rPr>
          <w:color w:val="000000"/>
        </w:rPr>
        <w:t>staza, održavanje javnih površina i groblja</w:t>
      </w:r>
      <w:r w:rsidR="00CA579B" w:rsidRPr="00B25803">
        <w:rPr>
          <w:color w:val="000000"/>
        </w:rPr>
        <w:t>,</w:t>
      </w:r>
      <w:r w:rsidR="00440861" w:rsidRPr="00B25803">
        <w:rPr>
          <w:color w:val="000000"/>
        </w:rPr>
        <w:t xml:space="preserve"> održavanje objekata i uređaja komunalne infrastrukture , uređenje poljskih putova, te u dugotrajnu imovinu.</w:t>
      </w:r>
    </w:p>
    <w:p w14:paraId="27C8D853" w14:textId="77777777" w:rsidR="00440861" w:rsidRPr="00B25803" w:rsidRDefault="00440861" w:rsidP="00B25803">
      <w:pPr>
        <w:jc w:val="both"/>
        <w:rPr>
          <w:b/>
          <w:color w:val="000000"/>
        </w:rPr>
      </w:pPr>
      <w:r w:rsidRPr="00B25803">
        <w:rPr>
          <w:color w:val="000000"/>
        </w:rPr>
        <w:br/>
      </w:r>
      <w:r w:rsidRPr="00B25803">
        <w:rPr>
          <w:b/>
          <w:color w:val="000000"/>
        </w:rPr>
        <w:t>Izvor sredstava za investicije:</w:t>
      </w:r>
    </w:p>
    <w:p w14:paraId="5F1FC2AA" w14:textId="77777777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Investicije će se financirati iz </w:t>
      </w:r>
      <w:r w:rsidR="00CA579B" w:rsidRPr="00B25803">
        <w:rPr>
          <w:color w:val="000000"/>
        </w:rPr>
        <w:t>vlastitih namjenskih i nenamjenskih prihoda, potpora, dotacija i sudjelujućih izvora iz sredstava EU.</w:t>
      </w:r>
    </w:p>
    <w:p w14:paraId="607BDDC8" w14:textId="77777777" w:rsidR="00440861" w:rsidRPr="00B25803" w:rsidRDefault="00440861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lastRenderedPageBreak/>
        <w:br/>
        <w:t>ZAJEDNIČK</w:t>
      </w:r>
      <w:r w:rsidR="005E71BB" w:rsidRPr="00B25803">
        <w:rPr>
          <w:b/>
          <w:bCs/>
          <w:color w:val="000000"/>
        </w:rPr>
        <w:t>O</w:t>
      </w:r>
      <w:r w:rsidRPr="00B25803">
        <w:rPr>
          <w:b/>
          <w:bCs/>
          <w:color w:val="000000"/>
        </w:rPr>
        <w:t xml:space="preserve"> VLASNIŠTV</w:t>
      </w:r>
      <w:r w:rsidR="005E71BB" w:rsidRPr="00B25803">
        <w:rPr>
          <w:b/>
          <w:bCs/>
          <w:color w:val="000000"/>
        </w:rPr>
        <w:t>O</w:t>
      </w:r>
    </w:p>
    <w:p w14:paraId="0AF81C53" w14:textId="27A18D99" w:rsidR="00EB1678" w:rsidRPr="003F135E" w:rsidRDefault="00EB1678" w:rsidP="00B25803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</w:rPr>
      </w:pPr>
      <w:r w:rsidRPr="00B25803">
        <w:rPr>
          <w:color w:val="000000"/>
        </w:rPr>
        <w:t>Poslovni udjeli u trgovačkim društvima u Vinkovačkom vodovodu i kanalizaciji, Poletu, GTG</w:t>
      </w:r>
      <w:r w:rsidR="00F27AE0">
        <w:rPr>
          <w:color w:val="000000"/>
        </w:rPr>
        <w:t xml:space="preserve">, kao i trgovačkom društvu </w:t>
      </w:r>
      <w:proofErr w:type="spellStart"/>
      <w:r w:rsidR="00F27AE0">
        <w:rPr>
          <w:color w:val="000000"/>
        </w:rPr>
        <w:t>Vranjevo</w:t>
      </w:r>
      <w:proofErr w:type="spellEnd"/>
      <w:r w:rsidR="00F27AE0">
        <w:rPr>
          <w:color w:val="000000"/>
        </w:rPr>
        <w:t xml:space="preserve"> d. o. o. Otok u kojem je Grad otok većinski vlasnik (manjinski vlasnik je Općina Vrbanja).</w:t>
      </w:r>
    </w:p>
    <w:p w14:paraId="6B634762" w14:textId="77777777" w:rsidR="00AE7676" w:rsidRPr="00B25803" w:rsidRDefault="00AE7676" w:rsidP="00B25803">
      <w:pPr>
        <w:pStyle w:val="Odlomakpopisa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AB67362" w14:textId="5A8D6932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>Kao manjinski vlasnik</w:t>
      </w:r>
      <w:r w:rsidR="00F27AE0">
        <w:rPr>
          <w:color w:val="000000"/>
        </w:rPr>
        <w:t xml:space="preserve"> u navedenim trgovačkim društvima (VVK, Polet, GTG)</w:t>
      </w:r>
      <w:r w:rsidRPr="00B25803">
        <w:rPr>
          <w:color w:val="000000"/>
        </w:rPr>
        <w:t xml:space="preserve"> ne možemo utjecati na poslovanje istih, no </w:t>
      </w:r>
      <w:r w:rsidR="00D93BCD" w:rsidRPr="00B25803">
        <w:rPr>
          <w:color w:val="000000"/>
        </w:rPr>
        <w:t>predstavnik Grada će</w:t>
      </w:r>
      <w:r w:rsidR="005E71BB" w:rsidRPr="00B25803">
        <w:rPr>
          <w:color w:val="000000"/>
        </w:rPr>
        <w:t xml:space="preserve"> aktivno sudjelovati na </w:t>
      </w:r>
      <w:r w:rsidRPr="00B25803">
        <w:rPr>
          <w:color w:val="000000"/>
        </w:rPr>
        <w:t xml:space="preserve"> Godišnjim skupštinama društ</w:t>
      </w:r>
      <w:r w:rsidR="005E71BB" w:rsidRPr="00B25803">
        <w:rPr>
          <w:color w:val="000000"/>
        </w:rPr>
        <w:t>a</w:t>
      </w:r>
      <w:r w:rsidRPr="00B25803">
        <w:rPr>
          <w:color w:val="000000"/>
        </w:rPr>
        <w:t>va.</w:t>
      </w:r>
    </w:p>
    <w:p w14:paraId="24756F50" w14:textId="77777777" w:rsidR="005E71BB" w:rsidRDefault="005E71BB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U slučaju pojave </w:t>
      </w:r>
      <w:r w:rsidR="00440861" w:rsidRPr="00B25803">
        <w:rPr>
          <w:color w:val="000000"/>
        </w:rPr>
        <w:t xml:space="preserve"> interesa za pr</w:t>
      </w:r>
      <w:r w:rsidRPr="00B25803">
        <w:rPr>
          <w:color w:val="000000"/>
        </w:rPr>
        <w:t>euzimanjem</w:t>
      </w:r>
      <w:r w:rsidR="00440861" w:rsidRPr="00B25803">
        <w:rPr>
          <w:color w:val="000000"/>
        </w:rPr>
        <w:t xml:space="preserve"> udjela u </w:t>
      </w:r>
      <w:r w:rsidRPr="00B25803">
        <w:rPr>
          <w:color w:val="000000"/>
        </w:rPr>
        <w:t>navedenim Grad će pokrenuti postupak donošenja adekvatne odluke sukladno interesu Grada artikuliranom po Gradskom vijeću.</w:t>
      </w:r>
    </w:p>
    <w:p w14:paraId="397D0A21" w14:textId="6FE1CC84" w:rsidR="0067089B" w:rsidRDefault="0067089B" w:rsidP="00E45A21">
      <w:pPr>
        <w:jc w:val="both"/>
        <w:rPr>
          <w:color w:val="000000"/>
        </w:rPr>
      </w:pPr>
      <w:r>
        <w:rPr>
          <w:color w:val="000000"/>
        </w:rPr>
        <w:t>Gradsko vijeće Grada otoka na sjednici održanoj 18. srpnja 2024. godine donijelo je Odluku o prodaji i prijenosu poslovnih udjela trgovačkog društva s ograničenom odgovornošću za cestovni prijevoz i prateće djelatnosti u prometu Polet d. o. o., ali kupoprodajni ugovor o kupoprodaji poslovnih udjela još uvijek nije sklopljen.</w:t>
      </w:r>
    </w:p>
    <w:p w14:paraId="4EE1EBF4" w14:textId="19A5BA65" w:rsidR="00F27AE0" w:rsidRPr="00B25803" w:rsidRDefault="00F27AE0" w:rsidP="00E45A21">
      <w:pPr>
        <w:jc w:val="both"/>
        <w:rPr>
          <w:color w:val="000000"/>
        </w:rPr>
      </w:pPr>
      <w:r>
        <w:rPr>
          <w:color w:val="000000"/>
        </w:rPr>
        <w:t xml:space="preserve">Grad Otok je većinski vlasnik društva </w:t>
      </w:r>
      <w:proofErr w:type="spellStart"/>
      <w:r>
        <w:rPr>
          <w:color w:val="000000"/>
        </w:rPr>
        <w:t>Vranjevo</w:t>
      </w:r>
      <w:proofErr w:type="spellEnd"/>
      <w:r>
        <w:rPr>
          <w:color w:val="000000"/>
        </w:rPr>
        <w:t xml:space="preserve"> d. o. o. Otok. Radom upravlja uprava društva, a Grad Otok, putem članova Nadzornog odbora kojeg imenuje Skupština društva (u pravilu Gradonačelnik Grada Otoka), kao i same Skupštine društva, prati i nadzire rad trgovačkog društva.</w:t>
      </w:r>
    </w:p>
    <w:p w14:paraId="483C1B71" w14:textId="77777777" w:rsidR="00440861" w:rsidRPr="00B25803" w:rsidRDefault="00440861" w:rsidP="00B25803">
      <w:pPr>
        <w:ind w:firstLine="708"/>
        <w:jc w:val="both"/>
        <w:rPr>
          <w:color w:val="000000"/>
        </w:rPr>
      </w:pPr>
    </w:p>
    <w:p w14:paraId="44F58D8D" w14:textId="77777777" w:rsidR="00440861" w:rsidRPr="00B25803" w:rsidRDefault="00440861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t xml:space="preserve">PLAN UPRAVLJANJA </w:t>
      </w:r>
      <w:r w:rsidR="00424932" w:rsidRPr="00B25803">
        <w:rPr>
          <w:b/>
          <w:bCs/>
          <w:color w:val="000000"/>
        </w:rPr>
        <w:t>NEKRETNINAMA</w:t>
      </w:r>
      <w:r w:rsidRPr="00B25803">
        <w:rPr>
          <w:b/>
          <w:bCs/>
          <w:color w:val="000000"/>
        </w:rPr>
        <w:t xml:space="preserve">  U VLASNIŠTVU </w:t>
      </w:r>
      <w:r w:rsidR="005E71BB" w:rsidRPr="00B25803">
        <w:rPr>
          <w:b/>
          <w:bCs/>
          <w:color w:val="000000"/>
        </w:rPr>
        <w:t>GRADA OTOKA</w:t>
      </w:r>
    </w:p>
    <w:p w14:paraId="1B442959" w14:textId="77777777" w:rsidR="00440861" w:rsidRPr="00B25803" w:rsidRDefault="00440861" w:rsidP="00B25803">
      <w:pPr>
        <w:jc w:val="both"/>
        <w:rPr>
          <w:color w:val="000000"/>
        </w:rPr>
      </w:pPr>
      <w:r w:rsidRPr="00B25803">
        <w:rPr>
          <w:color w:val="000000"/>
        </w:rPr>
        <w:t xml:space="preserve">Ovim </w:t>
      </w:r>
      <w:r w:rsidR="005E71BB" w:rsidRPr="00B25803">
        <w:rPr>
          <w:color w:val="000000"/>
        </w:rPr>
        <w:t>aktom</w:t>
      </w:r>
      <w:r w:rsidRPr="00B25803">
        <w:rPr>
          <w:color w:val="000000"/>
        </w:rPr>
        <w:t xml:space="preserve"> definiraju se sl</w:t>
      </w:r>
      <w:r w:rsidR="005E71BB" w:rsidRPr="00B25803">
        <w:rPr>
          <w:color w:val="000000"/>
        </w:rPr>
        <w:t>i</w:t>
      </w:r>
      <w:r w:rsidRPr="00B25803">
        <w:rPr>
          <w:color w:val="000000"/>
        </w:rPr>
        <w:t xml:space="preserve">jedeći ciljevi upravljanja i raspolaganja poslovnim prostorima u vlasništvu </w:t>
      </w:r>
      <w:r w:rsidR="005E71BB" w:rsidRPr="00B25803">
        <w:rPr>
          <w:color w:val="000000"/>
        </w:rPr>
        <w:t>Grada</w:t>
      </w:r>
      <w:r w:rsidRPr="00B25803">
        <w:rPr>
          <w:color w:val="000000"/>
        </w:rPr>
        <w:t>:</w:t>
      </w:r>
    </w:p>
    <w:p w14:paraId="20F30DFB" w14:textId="446FC6B5" w:rsidR="00440861" w:rsidRPr="00B25803" w:rsidRDefault="00CB275F" w:rsidP="00B2580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>Gradsko</w:t>
      </w:r>
      <w:r w:rsidR="00440861" w:rsidRPr="00B25803">
        <w:rPr>
          <w:color w:val="000000"/>
        </w:rPr>
        <w:t xml:space="preserve"> vijeć</w:t>
      </w:r>
      <w:r w:rsidRPr="00B25803">
        <w:rPr>
          <w:color w:val="000000"/>
        </w:rPr>
        <w:t>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će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putem odluka, a na prijedlog Gradonačelnika</w:t>
      </w:r>
      <w:r w:rsidR="0067089B">
        <w:rPr>
          <w:color w:val="000000"/>
        </w:rPr>
        <w:t>,</w:t>
      </w:r>
      <w:r w:rsidRPr="00B25803">
        <w:rPr>
          <w:color w:val="000000"/>
        </w:rPr>
        <w:t xml:space="preserve"> </w:t>
      </w:r>
      <w:r w:rsidR="00440861" w:rsidRPr="00B25803">
        <w:rPr>
          <w:color w:val="000000"/>
        </w:rPr>
        <w:t xml:space="preserve">na racionalan i učinkovit način upravljati poslovnim prostorima na način da poslovni prostori </w:t>
      </w:r>
      <w:r w:rsidRPr="00B25803">
        <w:rPr>
          <w:color w:val="000000"/>
        </w:rPr>
        <w:t>u funkciji gradske uprave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služe</w:t>
      </w:r>
      <w:r w:rsidR="00440861" w:rsidRPr="00B25803">
        <w:rPr>
          <w:color w:val="000000"/>
        </w:rPr>
        <w:t xml:space="preserve"> racionalnijem i učinkovitijem funkcioniranju uprave. Svi poslovni prostori</w:t>
      </w:r>
      <w:r w:rsidRPr="00B25803">
        <w:rPr>
          <w:color w:val="000000"/>
        </w:rPr>
        <w:t xml:space="preserve"> predviđeni za obavljanje javnih i kulturnih djelatnosti</w:t>
      </w:r>
      <w:r w:rsidR="00440861" w:rsidRPr="00B25803">
        <w:rPr>
          <w:color w:val="000000"/>
        </w:rPr>
        <w:t xml:space="preserve">, </w:t>
      </w:r>
      <w:r w:rsidR="00242290" w:rsidRPr="00B25803">
        <w:rPr>
          <w:color w:val="000000"/>
        </w:rPr>
        <w:t>po pr</w:t>
      </w:r>
      <w:r w:rsidR="003A1EA7">
        <w:rPr>
          <w:color w:val="000000"/>
        </w:rPr>
        <w:t xml:space="preserve">ethodno prikupljenom interesu </w:t>
      </w:r>
      <w:r w:rsidRPr="00B25803">
        <w:rPr>
          <w:color w:val="000000"/>
        </w:rPr>
        <w:t>bit će</w:t>
      </w:r>
      <w:r w:rsidR="00B25803" w:rsidRPr="00B25803">
        <w:rPr>
          <w:color w:val="000000"/>
        </w:rPr>
        <w:t xml:space="preserve"> </w:t>
      </w:r>
      <w:r w:rsidRPr="00B25803">
        <w:rPr>
          <w:color w:val="000000"/>
        </w:rPr>
        <w:t>dodijeljeni na korištenje subjektima</w:t>
      </w:r>
      <w:r w:rsidR="00440861" w:rsidRPr="00B25803">
        <w:rPr>
          <w:color w:val="000000"/>
        </w:rPr>
        <w:t xml:space="preserve">, a preostali </w:t>
      </w:r>
      <w:r w:rsidRPr="00B25803">
        <w:rPr>
          <w:color w:val="000000"/>
        </w:rPr>
        <w:t>će</w:t>
      </w:r>
      <w:r w:rsidR="00440861" w:rsidRPr="00B25803">
        <w:rPr>
          <w:color w:val="000000"/>
        </w:rPr>
        <w:t xml:space="preserve"> biti ponuđeni na tržištu </w:t>
      </w:r>
      <w:r w:rsidR="00424932" w:rsidRPr="00B25803">
        <w:rPr>
          <w:color w:val="000000"/>
        </w:rPr>
        <w:t>putem</w:t>
      </w:r>
      <w:r w:rsidR="00440861" w:rsidRPr="00B25803">
        <w:rPr>
          <w:color w:val="000000"/>
        </w:rPr>
        <w:t xml:space="preserve"> javn</w:t>
      </w:r>
      <w:r w:rsidR="00424932" w:rsidRPr="00B25803">
        <w:rPr>
          <w:color w:val="000000"/>
        </w:rPr>
        <w:t>og</w:t>
      </w:r>
      <w:r w:rsidR="00440861" w:rsidRPr="00B25803">
        <w:rPr>
          <w:color w:val="000000"/>
        </w:rPr>
        <w:t xml:space="preserve"> natječaj</w:t>
      </w:r>
      <w:r w:rsidR="00424932" w:rsidRPr="00B25803">
        <w:rPr>
          <w:color w:val="000000"/>
        </w:rPr>
        <w:t>a</w:t>
      </w:r>
      <w:r w:rsidR="00440861" w:rsidRPr="00B25803">
        <w:rPr>
          <w:color w:val="000000"/>
        </w:rPr>
        <w:t>.</w:t>
      </w:r>
    </w:p>
    <w:p w14:paraId="276C1713" w14:textId="77777777" w:rsidR="00424932" w:rsidRPr="00B25803" w:rsidRDefault="00424932" w:rsidP="00B25803">
      <w:pPr>
        <w:spacing w:after="0" w:line="240" w:lineRule="auto"/>
        <w:ind w:left="720"/>
        <w:jc w:val="both"/>
        <w:rPr>
          <w:color w:val="000000"/>
        </w:rPr>
      </w:pPr>
    </w:p>
    <w:p w14:paraId="78BDF2EA" w14:textId="308734B3" w:rsidR="00440861" w:rsidRPr="00B25803" w:rsidRDefault="00440861" w:rsidP="00B2580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Sukladno odlukama </w:t>
      </w:r>
      <w:r w:rsidR="00424932" w:rsidRPr="00B25803">
        <w:rPr>
          <w:color w:val="000000"/>
        </w:rPr>
        <w:t>Gradskog</w:t>
      </w:r>
      <w:r w:rsidRPr="00B25803">
        <w:rPr>
          <w:color w:val="000000"/>
        </w:rPr>
        <w:t xml:space="preserve"> vijeća</w:t>
      </w:r>
      <w:r w:rsidR="00424932" w:rsidRPr="00B25803">
        <w:rPr>
          <w:color w:val="000000"/>
        </w:rPr>
        <w:t xml:space="preserve"> </w:t>
      </w:r>
      <w:r w:rsidR="0067089B">
        <w:rPr>
          <w:color w:val="000000"/>
        </w:rPr>
        <w:t>pojedine</w:t>
      </w:r>
      <w:r w:rsidR="00424932" w:rsidRPr="00B25803">
        <w:rPr>
          <w:color w:val="000000"/>
        </w:rPr>
        <w:t xml:space="preserve"> nekretnine</w:t>
      </w:r>
      <w:r w:rsidRPr="00B25803">
        <w:rPr>
          <w:color w:val="000000"/>
        </w:rPr>
        <w:t xml:space="preserve"> se mogu prodati, </w:t>
      </w:r>
      <w:r w:rsidR="00EB373F" w:rsidRPr="00B25803">
        <w:rPr>
          <w:color w:val="000000"/>
        </w:rPr>
        <w:t xml:space="preserve">uz obaveznu prethodnu procjenu tržišne vrijednosti, </w:t>
      </w:r>
      <w:r w:rsidRPr="00B25803">
        <w:rPr>
          <w:color w:val="000000"/>
        </w:rPr>
        <w:t>pri čemu dio prihoda</w:t>
      </w:r>
      <w:r w:rsidR="00EB373F" w:rsidRPr="00B25803">
        <w:rPr>
          <w:color w:val="000000"/>
        </w:rPr>
        <w:t xml:space="preserve"> od realizacije </w:t>
      </w:r>
      <w:r w:rsidRPr="00B25803">
        <w:rPr>
          <w:color w:val="000000"/>
        </w:rPr>
        <w:t>treba uložiti u održavanje nekretnina koje ostaju u portfelju, čime će se zadržati, odnosno povećati njihova vrijednost.</w:t>
      </w:r>
    </w:p>
    <w:p w14:paraId="2A1CF1FF" w14:textId="77777777" w:rsidR="00EB373F" w:rsidRPr="00B25803" w:rsidRDefault="00EB373F" w:rsidP="00B25803">
      <w:pPr>
        <w:pStyle w:val="Odlomakpopisa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37C8832" w14:textId="77777777" w:rsidR="00EB373F" w:rsidRPr="00B25803" w:rsidRDefault="00EB373F" w:rsidP="00B25803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U portfelju gradske imovine povećavati učešće aktivne imovine u smislu ostvarenja kulturnih, ekoloških, socijalnih </w:t>
      </w:r>
      <w:r w:rsidR="00994D4C" w:rsidRPr="00B25803">
        <w:rPr>
          <w:color w:val="000000"/>
        </w:rPr>
        <w:t>i</w:t>
      </w:r>
      <w:r w:rsidRPr="00B25803">
        <w:rPr>
          <w:color w:val="000000"/>
        </w:rPr>
        <w:t xml:space="preserve"> gospodarskih</w:t>
      </w:r>
      <w:r w:rsidR="00994D4C" w:rsidRPr="00B25803">
        <w:rPr>
          <w:color w:val="000000"/>
        </w:rPr>
        <w:t xml:space="preserve"> koristi.</w:t>
      </w:r>
    </w:p>
    <w:p w14:paraId="4B81C7B8" w14:textId="77777777" w:rsidR="00440861" w:rsidRPr="00B25803" w:rsidRDefault="00440861" w:rsidP="00B25803">
      <w:pPr>
        <w:jc w:val="both"/>
        <w:rPr>
          <w:color w:val="000000"/>
        </w:rPr>
      </w:pPr>
    </w:p>
    <w:p w14:paraId="4CD7CAB7" w14:textId="77777777" w:rsidR="00440861" w:rsidRPr="00B25803" w:rsidRDefault="00EB373F" w:rsidP="00B25803">
      <w:pPr>
        <w:jc w:val="both"/>
        <w:rPr>
          <w:color w:val="000000"/>
        </w:rPr>
      </w:pPr>
      <w:r w:rsidRPr="00B25803">
        <w:rPr>
          <w:b/>
          <w:color w:val="000000"/>
        </w:rPr>
        <w:t>Aktivne n</w:t>
      </w:r>
      <w:r w:rsidR="00C22300" w:rsidRPr="00B25803">
        <w:rPr>
          <w:b/>
          <w:color w:val="000000"/>
        </w:rPr>
        <w:t>ekretnine</w:t>
      </w:r>
      <w:r w:rsidR="00440861" w:rsidRPr="00B25803">
        <w:rPr>
          <w:b/>
          <w:color w:val="000000"/>
        </w:rPr>
        <w:t xml:space="preserve"> u vlasništvu </w:t>
      </w:r>
      <w:r w:rsidR="00C22300" w:rsidRPr="00B25803">
        <w:rPr>
          <w:b/>
          <w:color w:val="000000"/>
        </w:rPr>
        <w:t>Grada Otoka</w:t>
      </w:r>
      <w:r w:rsidR="00440861" w:rsidRPr="00B25803">
        <w:rPr>
          <w:b/>
          <w:color w:val="000000"/>
        </w:rPr>
        <w:t xml:space="preserve"> su</w:t>
      </w:r>
      <w:r w:rsidR="00440861" w:rsidRPr="00B25803">
        <w:rPr>
          <w:color w:val="000000"/>
        </w:rPr>
        <w:t>:</w:t>
      </w:r>
    </w:p>
    <w:p w14:paraId="0D88A567" w14:textId="77777777" w:rsidR="00994D4C" w:rsidRPr="00B25803" w:rsidRDefault="00994D4C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Objekti od javnog interesa</w:t>
      </w:r>
    </w:p>
    <w:p w14:paraId="4E3E0881" w14:textId="77777777" w:rsidR="00994D4C" w:rsidRPr="00B25803" w:rsidRDefault="00994D4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Rimokatoličko groblje i mrtvačnica na k .č. 3362 i 3363 k.o. Otok</w:t>
      </w:r>
    </w:p>
    <w:p w14:paraId="3CD91D85" w14:textId="77777777" w:rsidR="00994D4C" w:rsidRPr="00B25803" w:rsidRDefault="00994D4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 xml:space="preserve">Groblje, crkva i mrtvačnica na k. č. 1388, 1667 k.o. </w:t>
      </w:r>
      <w:proofErr w:type="spellStart"/>
      <w:r w:rsidRPr="00B25803">
        <w:rPr>
          <w:rFonts w:asciiTheme="minorHAnsi" w:hAnsiTheme="minorHAnsi"/>
          <w:color w:val="000000"/>
          <w:sz w:val="22"/>
          <w:szCs w:val="22"/>
        </w:rPr>
        <w:t>Komletinci</w:t>
      </w:r>
      <w:proofErr w:type="spellEnd"/>
    </w:p>
    <w:p w14:paraId="704E5D4B" w14:textId="77777777" w:rsidR="001E1620" w:rsidRPr="00B25803" w:rsidRDefault="001E1620" w:rsidP="00B25803">
      <w:pPr>
        <w:pStyle w:val="Odlomakpopisa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95DE842" w14:textId="77777777" w:rsidR="00994D4C" w:rsidRPr="00B25803" w:rsidRDefault="001E1620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Prometna infrastruktura</w:t>
      </w:r>
    </w:p>
    <w:p w14:paraId="72A3CF91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Trg Kralja Tomislava</w:t>
      </w:r>
    </w:p>
    <w:p w14:paraId="115ED23C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Nerazvrstane ceste</w:t>
      </w:r>
    </w:p>
    <w:p w14:paraId="7DB3F247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lastRenderedPageBreak/>
        <w:t>Nogostupi i pješačke staze</w:t>
      </w:r>
    </w:p>
    <w:p w14:paraId="7B628D9E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Po</w:t>
      </w:r>
      <w:r w:rsidR="00607AF8" w:rsidRPr="00B25803">
        <w:rPr>
          <w:rFonts w:asciiTheme="minorHAnsi" w:hAnsiTheme="minorHAnsi"/>
          <w:color w:val="000000"/>
          <w:sz w:val="22"/>
          <w:szCs w:val="22"/>
        </w:rPr>
        <w:t xml:space="preserve">ljski putevi, mostovi, </w:t>
      </w:r>
      <w:proofErr w:type="spellStart"/>
      <w:r w:rsidR="00607AF8" w:rsidRPr="00B25803">
        <w:rPr>
          <w:rFonts w:asciiTheme="minorHAnsi" w:hAnsiTheme="minorHAnsi"/>
          <w:color w:val="000000"/>
          <w:sz w:val="22"/>
          <w:szCs w:val="22"/>
        </w:rPr>
        <w:t>otresišta</w:t>
      </w:r>
      <w:proofErr w:type="spellEnd"/>
    </w:p>
    <w:p w14:paraId="0EDFE21C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Autobusna stajališta</w:t>
      </w:r>
    </w:p>
    <w:p w14:paraId="3DF1FB74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Javna rasvjeta</w:t>
      </w:r>
    </w:p>
    <w:p w14:paraId="07485C39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Signalizacija</w:t>
      </w:r>
    </w:p>
    <w:p w14:paraId="7E06AA54" w14:textId="77777777" w:rsidR="001E1620" w:rsidRPr="00B25803" w:rsidRDefault="001E1620" w:rsidP="00B25803">
      <w:pPr>
        <w:jc w:val="both"/>
        <w:rPr>
          <w:color w:val="000000"/>
        </w:rPr>
      </w:pPr>
    </w:p>
    <w:p w14:paraId="60C15E7C" w14:textId="77777777" w:rsidR="001E1620" w:rsidRPr="00B25803" w:rsidRDefault="001E1620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Komunalna infrastruktura</w:t>
      </w:r>
    </w:p>
    <w:p w14:paraId="7552B28E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Kanalizacijska mreža</w:t>
      </w:r>
    </w:p>
    <w:p w14:paraId="0098E6EE" w14:textId="77777777" w:rsidR="001E1620" w:rsidRPr="00B25803" w:rsidRDefault="001E1620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Vodovodna mreža</w:t>
      </w:r>
    </w:p>
    <w:p w14:paraId="04DFD6F6" w14:textId="77777777" w:rsidR="001E1620" w:rsidRPr="00B25803" w:rsidRDefault="00607AF8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B25803">
        <w:rPr>
          <w:rFonts w:asciiTheme="minorHAnsi" w:hAnsiTheme="minorHAnsi"/>
          <w:color w:val="000000"/>
          <w:sz w:val="22"/>
          <w:szCs w:val="22"/>
        </w:rPr>
        <w:t>Plinoo</w:t>
      </w:r>
      <w:r w:rsidR="001E1620" w:rsidRPr="00B25803">
        <w:rPr>
          <w:rFonts w:asciiTheme="minorHAnsi" w:hAnsiTheme="minorHAnsi"/>
          <w:color w:val="000000"/>
          <w:sz w:val="22"/>
          <w:szCs w:val="22"/>
        </w:rPr>
        <w:t>pskrbna</w:t>
      </w:r>
      <w:proofErr w:type="spellEnd"/>
      <w:r w:rsidR="001E1620" w:rsidRPr="00B2580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E7676" w:rsidRPr="00B25803">
        <w:rPr>
          <w:rFonts w:asciiTheme="minorHAnsi" w:hAnsiTheme="minorHAnsi"/>
          <w:color w:val="000000"/>
          <w:sz w:val="22"/>
          <w:szCs w:val="22"/>
        </w:rPr>
        <w:t>mreža</w:t>
      </w:r>
    </w:p>
    <w:p w14:paraId="1A464C13" w14:textId="77777777" w:rsidR="00AE7676" w:rsidRPr="00B25803" w:rsidRDefault="00AE7676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Kanalska mreža za odvodnju površinskih voda</w:t>
      </w:r>
    </w:p>
    <w:p w14:paraId="15E1366D" w14:textId="77777777" w:rsidR="001E1620" w:rsidRPr="00B25803" w:rsidRDefault="001E1620" w:rsidP="00B25803">
      <w:pPr>
        <w:ind w:left="360"/>
        <w:jc w:val="both"/>
        <w:rPr>
          <w:color w:val="000000"/>
        </w:rPr>
      </w:pPr>
    </w:p>
    <w:p w14:paraId="7BF1ACAC" w14:textId="77777777" w:rsidR="00AE7676" w:rsidRPr="00B25803" w:rsidRDefault="00AE7676" w:rsidP="00B25803">
      <w:pPr>
        <w:jc w:val="both"/>
        <w:rPr>
          <w:color w:val="000000"/>
        </w:rPr>
      </w:pPr>
      <w:r w:rsidRPr="00B25803">
        <w:rPr>
          <w:color w:val="000000"/>
        </w:rPr>
        <w:t>Pobrojane kategorije objekata predstavljaju javno dobro i u funkciji su zadovoljenja potreba svih građana, te  je planirano investicijsko i tekuće održavanje istih kako bi se osigurala njihova maksimalna funkcionalnost i nužan razvoj.</w:t>
      </w:r>
      <w:r w:rsidR="00BC6FEC" w:rsidRPr="00B25803">
        <w:rPr>
          <w:color w:val="000000"/>
        </w:rPr>
        <w:t xml:space="preserve"> Detaljna razrada ulaganja obuhvaćena je Planom naba</w:t>
      </w:r>
      <w:r w:rsidR="006B55C0">
        <w:rPr>
          <w:color w:val="000000"/>
        </w:rPr>
        <w:t>ve za 2024</w:t>
      </w:r>
      <w:r w:rsidR="00BC6FEC" w:rsidRPr="00B25803">
        <w:rPr>
          <w:color w:val="000000"/>
        </w:rPr>
        <w:t>. godinu.</w:t>
      </w:r>
    </w:p>
    <w:p w14:paraId="017A33E9" w14:textId="77777777" w:rsidR="001E1620" w:rsidRPr="00B25803" w:rsidRDefault="00BC6FEC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 xml:space="preserve">Sportski objekti </w:t>
      </w:r>
    </w:p>
    <w:p w14:paraId="48262D36" w14:textId="77777777" w:rsidR="00BC6FEC" w:rsidRPr="00B25803" w:rsidRDefault="00BC6FE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Nogometno igralište u Otoku s pripadnom infrastrukturom</w:t>
      </w:r>
    </w:p>
    <w:p w14:paraId="7BA159F7" w14:textId="77777777" w:rsidR="00BC6FEC" w:rsidRPr="00B25803" w:rsidRDefault="00BC6FEC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 xml:space="preserve">Nogometno igralište u </w:t>
      </w:r>
      <w:proofErr w:type="spellStart"/>
      <w:r w:rsidRPr="00B25803">
        <w:rPr>
          <w:rFonts w:asciiTheme="minorHAnsi" w:hAnsiTheme="minorHAnsi"/>
          <w:color w:val="000000"/>
          <w:sz w:val="22"/>
          <w:szCs w:val="22"/>
        </w:rPr>
        <w:t>Komletincima</w:t>
      </w:r>
      <w:proofErr w:type="spellEnd"/>
      <w:r w:rsidRPr="00B25803">
        <w:rPr>
          <w:rFonts w:asciiTheme="minorHAnsi" w:hAnsiTheme="minorHAnsi"/>
          <w:color w:val="000000"/>
          <w:sz w:val="22"/>
          <w:szCs w:val="22"/>
        </w:rPr>
        <w:t xml:space="preserve"> s pripadnom infrastrukturom</w:t>
      </w:r>
    </w:p>
    <w:p w14:paraId="78054CDE" w14:textId="77777777" w:rsidR="00994D4C" w:rsidRPr="00B25803" w:rsidRDefault="00994D4C" w:rsidP="00B25803">
      <w:pPr>
        <w:jc w:val="both"/>
        <w:rPr>
          <w:color w:val="000000"/>
        </w:rPr>
      </w:pPr>
    </w:p>
    <w:p w14:paraId="7E62CF77" w14:textId="77777777" w:rsidR="00994D4C" w:rsidRPr="00B25803" w:rsidRDefault="00BC6FEC" w:rsidP="00B25803">
      <w:pPr>
        <w:jc w:val="both"/>
        <w:rPr>
          <w:color w:val="000000"/>
        </w:rPr>
      </w:pPr>
      <w:r w:rsidRPr="00B25803">
        <w:rPr>
          <w:color w:val="000000"/>
        </w:rPr>
        <w:t>Pobrojani objekti su u funkciji razvoja sportske kulture i amaterskog bavljenja sportom. Detalji ulaganja u održavanje istih pre</w:t>
      </w:r>
      <w:r w:rsidR="00B25803" w:rsidRPr="00B25803">
        <w:rPr>
          <w:color w:val="000000"/>
        </w:rPr>
        <w:t>dviđena su Planom nabave za 2021</w:t>
      </w:r>
      <w:r w:rsidRPr="00B25803">
        <w:rPr>
          <w:color w:val="000000"/>
        </w:rPr>
        <w:t xml:space="preserve"> godinu.</w:t>
      </w:r>
    </w:p>
    <w:p w14:paraId="2FBDFAF2" w14:textId="77777777" w:rsidR="00440861" w:rsidRPr="00B25803" w:rsidRDefault="00BC6FEC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Poslovni prostori</w:t>
      </w:r>
    </w:p>
    <w:p w14:paraId="2650F35A" w14:textId="77777777" w:rsidR="00BC6FEC" w:rsidRPr="00B25803" w:rsidRDefault="00106906" w:rsidP="00B25803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Zgrada općine i dvorište k. č. 2031/1 k. o. Otok</w:t>
      </w:r>
    </w:p>
    <w:p w14:paraId="0A948A95" w14:textId="77777777" w:rsidR="00106906" w:rsidRPr="00B25803" w:rsidRDefault="00106906" w:rsidP="00B25803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Zdravstvena stanica Otok k. č. 1751 k. o. Otok</w:t>
      </w:r>
    </w:p>
    <w:p w14:paraId="7F952328" w14:textId="77777777" w:rsidR="00106906" w:rsidRPr="003A1EA7" w:rsidRDefault="00106906" w:rsidP="003A1EA7">
      <w:pPr>
        <w:pStyle w:val="Odlomakpopisa"/>
        <w:numPr>
          <w:ilvl w:val="0"/>
          <w:numId w:val="2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A1EA7">
        <w:rPr>
          <w:rFonts w:ascii="Calibri" w:hAnsi="Calibri" w:cs="Calibri"/>
          <w:color w:val="000000"/>
          <w:sz w:val="22"/>
          <w:szCs w:val="22"/>
        </w:rPr>
        <w:t xml:space="preserve">Četiri zgrade i ekonomsko dvorište  k. č. 289 k. o. </w:t>
      </w:r>
      <w:proofErr w:type="spellStart"/>
      <w:r w:rsidRPr="003A1EA7">
        <w:rPr>
          <w:rFonts w:ascii="Calibri" w:hAnsi="Calibri" w:cs="Calibri"/>
          <w:color w:val="000000"/>
          <w:sz w:val="22"/>
          <w:szCs w:val="22"/>
        </w:rPr>
        <w:t>Komletinci</w:t>
      </w:r>
      <w:proofErr w:type="spellEnd"/>
    </w:p>
    <w:p w14:paraId="1772BC1B" w14:textId="77777777" w:rsidR="00106906" w:rsidRPr="00B25803" w:rsidRDefault="00106906" w:rsidP="00B25803">
      <w:pPr>
        <w:numPr>
          <w:ilvl w:val="0"/>
          <w:numId w:val="24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Poslovna zgrada i dvorište B. Radić  k. č. 777/3 k.o. </w:t>
      </w:r>
      <w:proofErr w:type="spellStart"/>
      <w:r w:rsidRPr="00B25803">
        <w:rPr>
          <w:color w:val="000000"/>
        </w:rPr>
        <w:t>Komletinci</w:t>
      </w:r>
      <w:proofErr w:type="spellEnd"/>
      <w:r w:rsidRPr="00B25803">
        <w:rPr>
          <w:color w:val="000000"/>
        </w:rPr>
        <w:t xml:space="preserve"> 59/100 udjela u vlasništvu </w:t>
      </w:r>
    </w:p>
    <w:p w14:paraId="27A713FA" w14:textId="77777777" w:rsidR="00B25803" w:rsidRPr="00B25803" w:rsidRDefault="00B25803" w:rsidP="00B25803">
      <w:pPr>
        <w:numPr>
          <w:ilvl w:val="0"/>
          <w:numId w:val="24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 xml:space="preserve">Poduzetnički inkubator, </w:t>
      </w:r>
      <w:proofErr w:type="spellStart"/>
      <w:r w:rsidRPr="00B25803">
        <w:rPr>
          <w:color w:val="000000"/>
        </w:rPr>
        <w:t>k.č</w:t>
      </w:r>
      <w:proofErr w:type="spellEnd"/>
      <w:r w:rsidRPr="00B25803">
        <w:rPr>
          <w:color w:val="000000"/>
        </w:rPr>
        <w:t>. 634/5, k.o. Otok</w:t>
      </w:r>
    </w:p>
    <w:p w14:paraId="4FB63230" w14:textId="77777777" w:rsidR="00106906" w:rsidRPr="00B25803" w:rsidRDefault="00106906" w:rsidP="00B25803">
      <w:pPr>
        <w:ind w:left="708"/>
        <w:jc w:val="both"/>
        <w:rPr>
          <w:color w:val="000000"/>
        </w:rPr>
      </w:pPr>
    </w:p>
    <w:p w14:paraId="1BB04982" w14:textId="77777777" w:rsidR="00CF6828" w:rsidRPr="00B25803" w:rsidRDefault="00CF6828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Objekti za brigu odjeci predškolskog uzrasta</w:t>
      </w:r>
    </w:p>
    <w:p w14:paraId="5500D38C" w14:textId="77777777" w:rsidR="00CF6828" w:rsidRPr="00B25803" w:rsidRDefault="00CF6828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Dječji vrtić i igralište  k. č. 2334/1 k. o. Otok</w:t>
      </w:r>
    </w:p>
    <w:p w14:paraId="1BC07B1A" w14:textId="77777777" w:rsidR="00CF6828" w:rsidRPr="00B25803" w:rsidRDefault="00CF6828" w:rsidP="00B25803">
      <w:pPr>
        <w:pStyle w:val="Odlomakpopisa"/>
        <w:numPr>
          <w:ilvl w:val="1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Dječja igrališta</w:t>
      </w:r>
    </w:p>
    <w:p w14:paraId="423F54BC" w14:textId="77777777" w:rsidR="00CF6828" w:rsidRPr="00B25803" w:rsidRDefault="00CF6828" w:rsidP="00B25803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Poljoprivredno zemljište</w:t>
      </w:r>
    </w:p>
    <w:p w14:paraId="7FB9FC78" w14:textId="43DB0E3D" w:rsidR="00CF6828" w:rsidRPr="00B25803" w:rsidRDefault="00CF6828" w:rsidP="00B25803">
      <w:pPr>
        <w:jc w:val="both"/>
        <w:rPr>
          <w:color w:val="000000"/>
        </w:rPr>
      </w:pPr>
      <w:r w:rsidRPr="00B25803">
        <w:rPr>
          <w:color w:val="000000"/>
        </w:rPr>
        <w:t>Poljoprivredno zemljište u vlasništvu Grada Otoka je je dodijeljeno korisnicima temeljem javnog natječaja u višegodišnji</w:t>
      </w:r>
      <w:r w:rsidR="00A65E2D" w:rsidRPr="00B25803">
        <w:rPr>
          <w:color w:val="000000"/>
        </w:rPr>
        <w:t xml:space="preserve"> zakup</w:t>
      </w:r>
      <w:r w:rsidR="0067089B">
        <w:rPr>
          <w:color w:val="000000"/>
        </w:rPr>
        <w:t xml:space="preserve">, ili će se provesti novi postupak ako su postojeći ugovori istekli ili se poljoprivredno zemljište ne koristi. </w:t>
      </w:r>
      <w:r w:rsidRPr="00B25803">
        <w:rPr>
          <w:color w:val="000000"/>
        </w:rPr>
        <w:t xml:space="preserve"> Sa zakupnicima koji eventualno ne budu uredni u izmirenju obveza sukladno ugovorima isti će biti raskinuti te pokrenuti odgovarajući postupci naplate.</w:t>
      </w:r>
    </w:p>
    <w:p w14:paraId="1D1795E3" w14:textId="77777777" w:rsidR="00CF6828" w:rsidRDefault="00AF5101" w:rsidP="00B25803">
      <w:pPr>
        <w:jc w:val="both"/>
        <w:rPr>
          <w:color w:val="000000"/>
        </w:rPr>
      </w:pPr>
      <w:r w:rsidRPr="00B25803">
        <w:rPr>
          <w:color w:val="000000"/>
        </w:rPr>
        <w:t>Neaktivnu imovinu čine nekretnine opisane kao dvorišta i kuće u selu. Po utvrđivanju stvarnog stanja kod uvođenja istih u katalog nekretnina Gradskom vijeću bit će dostavljen prijedlog raspolaganja sa istim.</w:t>
      </w:r>
    </w:p>
    <w:p w14:paraId="2CDDD68B" w14:textId="77777777" w:rsidR="003A1EA7" w:rsidRDefault="003A1EA7" w:rsidP="00B25803">
      <w:pPr>
        <w:jc w:val="both"/>
        <w:rPr>
          <w:b/>
          <w:color w:val="000000"/>
        </w:rPr>
      </w:pPr>
      <w:r w:rsidRPr="003A1EA7">
        <w:rPr>
          <w:b/>
          <w:color w:val="000000"/>
        </w:rPr>
        <w:t>Stjecanje nekretnina</w:t>
      </w:r>
    </w:p>
    <w:p w14:paraId="557C6B5C" w14:textId="67675526" w:rsidR="003A1EA7" w:rsidRDefault="003A1EA7" w:rsidP="00B25803">
      <w:pPr>
        <w:jc w:val="both"/>
        <w:rPr>
          <w:color w:val="000000"/>
        </w:rPr>
      </w:pPr>
      <w:r>
        <w:rPr>
          <w:color w:val="000000"/>
        </w:rPr>
        <w:t>U narednom periodu planira se kupnja</w:t>
      </w:r>
      <w:r w:rsidR="003F6DE3">
        <w:rPr>
          <w:color w:val="000000"/>
        </w:rPr>
        <w:t xml:space="preserve"> ili zamjena </w:t>
      </w:r>
      <w:r>
        <w:rPr>
          <w:color w:val="000000"/>
        </w:rPr>
        <w:t xml:space="preserve"> sljedećih nekretnina:</w:t>
      </w:r>
    </w:p>
    <w:p w14:paraId="212F9299" w14:textId="77777777" w:rsidR="003A1EA7" w:rsidRDefault="003A1EA7" w:rsidP="003A1EA7">
      <w:pPr>
        <w:spacing w:after="0"/>
        <w:jc w:val="both"/>
        <w:rPr>
          <w:color w:val="000000"/>
        </w:rPr>
      </w:pPr>
      <w:r>
        <w:rPr>
          <w:color w:val="000000"/>
        </w:rPr>
        <w:t>-k.č.br.3482/1 k.o. Otok, površine 41206m2, u vlasništvu od DILJ. d.o.o., radi izgradnje sportsko-rekreacijskog centra Ciglana</w:t>
      </w:r>
    </w:p>
    <w:p w14:paraId="5E4076A4" w14:textId="77777777" w:rsidR="00D013A6" w:rsidRPr="003A1EA7" w:rsidRDefault="00D013A6" w:rsidP="003A1EA7">
      <w:pPr>
        <w:spacing w:after="0"/>
        <w:jc w:val="both"/>
        <w:rPr>
          <w:color w:val="000000"/>
        </w:rPr>
      </w:pPr>
      <w:r>
        <w:rPr>
          <w:color w:val="000000"/>
        </w:rPr>
        <w:lastRenderedPageBreak/>
        <w:t>-k.č.br. 2345 k.o. Otok, površine 2108 m2, radi izgradnje stambene zgrade</w:t>
      </w:r>
    </w:p>
    <w:p w14:paraId="6A146B1C" w14:textId="77777777" w:rsidR="00440861" w:rsidRPr="00B25803" w:rsidRDefault="00440861" w:rsidP="003A1EA7">
      <w:pPr>
        <w:spacing w:after="0"/>
        <w:jc w:val="both"/>
        <w:rPr>
          <w:color w:val="000000"/>
        </w:rPr>
      </w:pPr>
    </w:p>
    <w:p w14:paraId="2C5E02D7" w14:textId="77777777" w:rsidR="00440861" w:rsidRPr="00B25803" w:rsidRDefault="00440861" w:rsidP="00B25803">
      <w:pPr>
        <w:jc w:val="both"/>
        <w:rPr>
          <w:b/>
          <w:color w:val="000000"/>
        </w:rPr>
      </w:pPr>
      <w:r w:rsidRPr="00B25803">
        <w:rPr>
          <w:b/>
          <w:bCs/>
          <w:color w:val="000000"/>
        </w:rPr>
        <w:t xml:space="preserve">Plan tekućeg i investicijskog održavanja objekata u </w:t>
      </w:r>
      <w:r w:rsidR="00AF5101" w:rsidRPr="00B25803">
        <w:rPr>
          <w:b/>
          <w:bCs/>
          <w:color w:val="000000"/>
        </w:rPr>
        <w:t>vlasništvu Grada Otoka</w:t>
      </w:r>
      <w:r w:rsidR="00B25803" w:rsidRPr="00B25803">
        <w:rPr>
          <w:b/>
          <w:bCs/>
          <w:color w:val="000000"/>
        </w:rPr>
        <w:t>:</w:t>
      </w:r>
    </w:p>
    <w:p w14:paraId="2D9FBAA3" w14:textId="77777777" w:rsidR="00440861" w:rsidRPr="00B25803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U </w:t>
      </w:r>
      <w:r w:rsidR="00AF5101" w:rsidRPr="00B25803">
        <w:rPr>
          <w:color w:val="000000"/>
        </w:rPr>
        <w:t>P</w:t>
      </w:r>
      <w:r w:rsidRPr="00B25803">
        <w:rPr>
          <w:color w:val="000000"/>
        </w:rPr>
        <w:t>roračun</w:t>
      </w:r>
      <w:r w:rsidR="00AF5101" w:rsidRPr="00B25803">
        <w:rPr>
          <w:color w:val="000000"/>
        </w:rPr>
        <w:t>u Grada otoka</w:t>
      </w:r>
      <w:r w:rsidRPr="00B25803">
        <w:rPr>
          <w:color w:val="000000"/>
        </w:rPr>
        <w:t xml:space="preserve"> osigura</w:t>
      </w:r>
      <w:r w:rsidR="00AF5101" w:rsidRPr="00B25803">
        <w:rPr>
          <w:color w:val="000000"/>
        </w:rPr>
        <w:t>na su</w:t>
      </w:r>
      <w:r w:rsidRPr="00B25803">
        <w:rPr>
          <w:color w:val="000000"/>
        </w:rPr>
        <w:t xml:space="preserve"> sredstva za plaćanje svih režijskih troškova</w:t>
      </w:r>
      <w:r w:rsidR="00AF5101" w:rsidRPr="00B25803">
        <w:rPr>
          <w:color w:val="000000"/>
        </w:rPr>
        <w:t xml:space="preserve"> i</w:t>
      </w:r>
      <w:r w:rsidRPr="00B25803">
        <w:rPr>
          <w:color w:val="000000"/>
        </w:rPr>
        <w:t xml:space="preserve"> investicijsko održavanje </w:t>
      </w:r>
      <w:r w:rsidR="00AF5101" w:rsidRPr="00B25803">
        <w:rPr>
          <w:color w:val="000000"/>
        </w:rPr>
        <w:t>kako bi se očuvala njihova funkcionalnost</w:t>
      </w:r>
      <w:r w:rsidRPr="00B25803">
        <w:rPr>
          <w:color w:val="000000"/>
        </w:rPr>
        <w:t xml:space="preserve">. </w:t>
      </w:r>
    </w:p>
    <w:p w14:paraId="63C7D275" w14:textId="77777777" w:rsidR="00440861" w:rsidRDefault="00440861" w:rsidP="00E45A21">
      <w:pPr>
        <w:jc w:val="both"/>
        <w:rPr>
          <w:color w:val="000000"/>
        </w:rPr>
      </w:pPr>
      <w:r w:rsidRPr="00B25803">
        <w:rPr>
          <w:color w:val="000000"/>
        </w:rPr>
        <w:t xml:space="preserve">Također će se, a u skladu s politikom energetske učinkovitosti i održivosti, provesti mjere energetske obnove objekata te izrade energetskih certifikata u suradnji s Fondom za zaštitu okoliša i energetsku učinkovitost. Ovim ulaganjima u energetsku obnovu, uštedjet će se i na tekućim troškovima, a sredstva za te aktivnosti predviđena </w:t>
      </w:r>
      <w:r w:rsidR="00AF5101" w:rsidRPr="00B25803">
        <w:rPr>
          <w:color w:val="000000"/>
        </w:rPr>
        <w:t>su proračunom</w:t>
      </w:r>
      <w:r w:rsidRPr="00B25803">
        <w:rPr>
          <w:color w:val="000000"/>
        </w:rPr>
        <w:t>.</w:t>
      </w:r>
    </w:p>
    <w:p w14:paraId="04188C36" w14:textId="40F6628F" w:rsidR="0067089B" w:rsidRPr="00F27AE0" w:rsidRDefault="0067089B" w:rsidP="0067089B">
      <w:pPr>
        <w:jc w:val="both"/>
        <w:rPr>
          <w:b/>
          <w:bCs/>
          <w:color w:val="000000"/>
        </w:rPr>
      </w:pPr>
      <w:r w:rsidRPr="00F27AE0">
        <w:rPr>
          <w:b/>
          <w:bCs/>
          <w:color w:val="000000"/>
        </w:rPr>
        <w:t>Rješ</w:t>
      </w:r>
      <w:r w:rsidR="00F27AE0">
        <w:rPr>
          <w:b/>
          <w:bCs/>
          <w:color w:val="000000"/>
        </w:rPr>
        <w:t>a</w:t>
      </w:r>
      <w:r w:rsidRPr="00F27AE0">
        <w:rPr>
          <w:b/>
          <w:bCs/>
          <w:color w:val="000000"/>
        </w:rPr>
        <w:t>vanje imovinsko – pravnih odnosa</w:t>
      </w:r>
    </w:p>
    <w:p w14:paraId="163BCBB7" w14:textId="0C1D99CE" w:rsidR="0067089B" w:rsidRDefault="0067089B" w:rsidP="0067089B">
      <w:pPr>
        <w:jc w:val="both"/>
        <w:rPr>
          <w:color w:val="000000"/>
        </w:rPr>
      </w:pPr>
      <w:r w:rsidRPr="00924ED6">
        <w:rPr>
          <w:color w:val="000000"/>
        </w:rPr>
        <w:t>Grad Otok je prema odredbama Zakona o nasljeđivanju naslijedio više nekretnina u proteklom</w:t>
      </w:r>
      <w:r>
        <w:rPr>
          <w:color w:val="000000"/>
        </w:rPr>
        <w:t xml:space="preserve"> razdoblju, ukoliko ista nema nasljednika (</w:t>
      </w:r>
      <w:proofErr w:type="spellStart"/>
      <w:r>
        <w:rPr>
          <w:color w:val="000000"/>
        </w:rPr>
        <w:t>ošasna</w:t>
      </w:r>
      <w:proofErr w:type="spellEnd"/>
      <w:r>
        <w:rPr>
          <w:color w:val="000000"/>
        </w:rPr>
        <w:t xml:space="preserve"> imovina)</w:t>
      </w:r>
      <w:r w:rsidR="00F27AE0">
        <w:rPr>
          <w:color w:val="000000"/>
        </w:rPr>
        <w:t>, a na kojim uglavnom postoji teret u korist trećih osoba, i prema kojem teretu treće osobe traže naplatu svojih potraživanja od Grada Otoka, što predstavlja potencijalnu opasnost za proračun Grada Otoka, iako se naplata navedenih ter</w:t>
      </w:r>
      <w:r w:rsidR="003F6DE3">
        <w:rPr>
          <w:color w:val="000000"/>
        </w:rPr>
        <w:t>e</w:t>
      </w:r>
      <w:r w:rsidR="00F27AE0">
        <w:rPr>
          <w:color w:val="000000"/>
        </w:rPr>
        <w:t xml:space="preserve">ta može samo naplatiti iz </w:t>
      </w:r>
      <w:r w:rsidR="003F6DE3">
        <w:rPr>
          <w:color w:val="000000"/>
        </w:rPr>
        <w:t>naslijeđene nekretnine,</w:t>
      </w:r>
      <w:r w:rsidR="00F27AE0">
        <w:rPr>
          <w:color w:val="000000"/>
        </w:rPr>
        <w:t xml:space="preserve"> i do vrijednosti naslijeđene nekretnine.</w:t>
      </w:r>
    </w:p>
    <w:p w14:paraId="598F0BBD" w14:textId="4B7B56E6" w:rsidR="00F27AE0" w:rsidRPr="00F27AE0" w:rsidRDefault="00F27AE0" w:rsidP="0067089B">
      <w:pPr>
        <w:jc w:val="both"/>
        <w:rPr>
          <w:color w:val="000000"/>
        </w:rPr>
      </w:pPr>
      <w:r>
        <w:rPr>
          <w:color w:val="000000"/>
        </w:rPr>
        <w:t>Cilj Grada Otoka je za iste nekretnine izvršiti procjenu vrijednosti nekretnine i provesti postupak prodaje ili na drugi način raspolagati istom imovinom</w:t>
      </w:r>
      <w:r w:rsidR="003F6DE3">
        <w:rPr>
          <w:color w:val="000000"/>
        </w:rPr>
        <w:t xml:space="preserve"> odnosno nekretninom., 155/23</w:t>
      </w:r>
    </w:p>
    <w:p w14:paraId="03E1CB24" w14:textId="77777777" w:rsidR="00440861" w:rsidRPr="00B25803" w:rsidRDefault="00440861" w:rsidP="00B25803">
      <w:pPr>
        <w:jc w:val="both"/>
        <w:rPr>
          <w:rFonts w:eastAsia="Times New Roman"/>
          <w:b/>
          <w:color w:val="000000"/>
        </w:rPr>
      </w:pPr>
    </w:p>
    <w:p w14:paraId="083AE87E" w14:textId="77777777" w:rsidR="00440861" w:rsidRPr="00B25803" w:rsidRDefault="00440861" w:rsidP="00B25803">
      <w:pPr>
        <w:jc w:val="both"/>
        <w:rPr>
          <w:b/>
          <w:bCs/>
          <w:color w:val="000000"/>
        </w:rPr>
      </w:pPr>
      <w:r w:rsidRPr="00B25803">
        <w:rPr>
          <w:b/>
          <w:bCs/>
          <w:color w:val="000000"/>
        </w:rPr>
        <w:t>Plan postupaka vezanih uz savjetovanje sa zainteresiranom javnošću i pravo na pristup informacijama koje se tiču upravljanja i raspolaga</w:t>
      </w:r>
      <w:r w:rsidR="00AF5101" w:rsidRPr="00B25803">
        <w:rPr>
          <w:b/>
          <w:bCs/>
          <w:color w:val="000000"/>
        </w:rPr>
        <w:t>nja imovinom u vlasništvu Grada</w:t>
      </w:r>
    </w:p>
    <w:p w14:paraId="56F5D707" w14:textId="77777777" w:rsidR="00242290" w:rsidRPr="00B25803" w:rsidRDefault="00242290" w:rsidP="00B25803">
      <w:pPr>
        <w:pStyle w:val="Odlomakpopisa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Na internetskim stranicama Grada bit će objavljeni slijedeći akti vezani uz upravljanje i raspolaganje nekretninama:</w:t>
      </w:r>
    </w:p>
    <w:p w14:paraId="30471CA8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Poziv na iskaziva</w:t>
      </w:r>
      <w:r w:rsidRPr="00B25803">
        <w:rPr>
          <w:rFonts w:asciiTheme="minorHAnsi" w:hAnsiTheme="minorHAnsi"/>
          <w:b/>
          <w:bCs/>
          <w:color w:val="000000"/>
          <w:sz w:val="22"/>
          <w:szCs w:val="22"/>
        </w:rPr>
        <w:t>n</w:t>
      </w:r>
      <w:r w:rsidRPr="00B25803">
        <w:rPr>
          <w:rFonts w:asciiTheme="minorHAnsi" w:hAnsiTheme="minorHAnsi"/>
          <w:bCs/>
          <w:color w:val="000000"/>
          <w:sz w:val="22"/>
          <w:szCs w:val="22"/>
        </w:rPr>
        <w:t>je interesa za korištenjem nekretnina ili dijelova nekretnina</w:t>
      </w:r>
    </w:p>
    <w:p w14:paraId="33232F33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Javni natječaji za davanje nekretnina na korištenje</w:t>
      </w:r>
    </w:p>
    <w:p w14:paraId="67D68D05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Odluke o izabranim ponuđačima</w:t>
      </w:r>
    </w:p>
    <w:p w14:paraId="2CECDC53" w14:textId="77777777" w:rsidR="00242290" w:rsidRPr="00B25803" w:rsidRDefault="00242290" w:rsidP="00B25803">
      <w:pPr>
        <w:pStyle w:val="Odlomakpopisa"/>
        <w:numPr>
          <w:ilvl w:val="1"/>
          <w:numId w:val="22"/>
        </w:num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25803">
        <w:rPr>
          <w:rFonts w:asciiTheme="minorHAnsi" w:hAnsiTheme="minorHAnsi"/>
          <w:bCs/>
          <w:color w:val="000000"/>
          <w:sz w:val="22"/>
          <w:szCs w:val="22"/>
        </w:rPr>
        <w:t>Plan upravljanja i raspolaganja nekretninama</w:t>
      </w:r>
      <w:r w:rsidR="00174AAC" w:rsidRPr="00B25803">
        <w:rPr>
          <w:rFonts w:asciiTheme="minorHAnsi" w:hAnsiTheme="minorHAnsi"/>
          <w:bCs/>
          <w:color w:val="000000"/>
          <w:sz w:val="22"/>
          <w:szCs w:val="22"/>
        </w:rPr>
        <w:t xml:space="preserve"> u vlasništvu Grada  </w:t>
      </w:r>
    </w:p>
    <w:p w14:paraId="15CD1806" w14:textId="77777777" w:rsidR="005745CD" w:rsidRPr="00B25803" w:rsidRDefault="005745CD" w:rsidP="00B25803">
      <w:pPr>
        <w:pStyle w:val="Odlomakpopisa"/>
        <w:numPr>
          <w:ilvl w:val="1"/>
          <w:numId w:val="22"/>
        </w:num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25803">
        <w:rPr>
          <w:rFonts w:asciiTheme="minorHAnsi" w:hAnsiTheme="minorHAnsi"/>
          <w:color w:val="000000"/>
          <w:sz w:val="22"/>
          <w:szCs w:val="22"/>
        </w:rPr>
        <w:t>Katalog nekretnina u vlasništvu Grada Otoka</w:t>
      </w:r>
      <w:r w:rsidR="00B25803" w:rsidRPr="00B2580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B25803">
        <w:rPr>
          <w:rFonts w:asciiTheme="minorHAnsi" w:hAnsiTheme="minorHAnsi"/>
          <w:color w:val="000000"/>
          <w:sz w:val="22"/>
          <w:szCs w:val="22"/>
        </w:rPr>
        <w:t xml:space="preserve">sukladno donesenoj </w:t>
      </w:r>
      <w:r w:rsidRPr="00B25803">
        <w:rPr>
          <w:rFonts w:asciiTheme="minorHAnsi" w:hAnsiTheme="minorHAnsi"/>
          <w:sz w:val="22"/>
          <w:szCs w:val="22"/>
        </w:rPr>
        <w:t>Strategiji upravljanja i raspolaganja nekretninama u vlasništvu Grada Ot</w:t>
      </w:r>
      <w:r w:rsidR="003A1EA7">
        <w:rPr>
          <w:rFonts w:asciiTheme="minorHAnsi" w:hAnsiTheme="minorHAnsi"/>
          <w:sz w:val="22"/>
          <w:szCs w:val="22"/>
        </w:rPr>
        <w:t>oka za razdoblje 2023. - 2028</w:t>
      </w:r>
      <w:r w:rsidRPr="00B25803">
        <w:rPr>
          <w:rFonts w:asciiTheme="minorHAnsi" w:hAnsiTheme="minorHAnsi"/>
          <w:sz w:val="22"/>
          <w:szCs w:val="22"/>
        </w:rPr>
        <w:t>.</w:t>
      </w:r>
    </w:p>
    <w:p w14:paraId="781F56AC" w14:textId="77777777" w:rsidR="00440861" w:rsidRPr="00B25803" w:rsidRDefault="00440861" w:rsidP="00B25803">
      <w:pPr>
        <w:jc w:val="both"/>
        <w:rPr>
          <w:color w:val="000000"/>
        </w:rPr>
      </w:pPr>
      <w:r w:rsidRPr="00B25803">
        <w:rPr>
          <w:color w:val="000000"/>
        </w:rPr>
        <w:t>Zakonski propisi kojima je uređeno postupanje vezano uz savjetovanje sa zainteresiranom javnošću i pravo na pristup informacijama koje se tiču upravljanja i raspolaganja imovinom u vlasništvu Republike Hrvatske:</w:t>
      </w:r>
    </w:p>
    <w:p w14:paraId="654D0309" w14:textId="054DE1B6" w:rsidR="00440861" w:rsidRPr="00B25803" w:rsidRDefault="00440861" w:rsidP="00B25803">
      <w:pPr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>Zakon o upravljanju i raspolaganju imovinom u vlasništvu Republike Hrvats</w:t>
      </w:r>
      <w:r w:rsidR="003A1EA7">
        <w:rPr>
          <w:color w:val="000000"/>
        </w:rPr>
        <w:t>ke (»Narodne novine«, broj 94/</w:t>
      </w:r>
      <w:r w:rsidRPr="00B25803">
        <w:rPr>
          <w:color w:val="000000"/>
        </w:rPr>
        <w:t>13</w:t>
      </w:r>
      <w:r w:rsidR="003A1EA7">
        <w:rPr>
          <w:color w:val="000000"/>
        </w:rPr>
        <w:t xml:space="preserve"> </w:t>
      </w:r>
      <w:hyperlink r:id="rId46" w:history="1">
        <w:r w:rsidR="003A1EA7" w:rsidRPr="003A1EA7">
          <w:rPr>
            <w:rStyle w:val="Hiperveza"/>
            <w:rFonts w:ascii="Calibri" w:hAnsi="Calibri" w:cs="Calibri"/>
            <w:bCs/>
            <w:color w:val="000000" w:themeColor="text1"/>
            <w:u w:val="none"/>
          </w:rPr>
          <w:t>18/16</w:t>
        </w:r>
      </w:hyperlink>
      <w:r w:rsidR="003A1EA7" w:rsidRPr="003A1EA7">
        <w:rPr>
          <w:rFonts w:ascii="Calibri" w:hAnsi="Calibri" w:cs="Calibri"/>
          <w:color w:val="000000" w:themeColor="text1"/>
        </w:rPr>
        <w:t>, </w:t>
      </w:r>
      <w:hyperlink r:id="rId47" w:tgtFrame="_blank" w:history="1">
        <w:r w:rsidR="003A1EA7" w:rsidRPr="003A1EA7">
          <w:rPr>
            <w:rStyle w:val="Hiperveza"/>
            <w:rFonts w:ascii="Calibri" w:hAnsi="Calibri" w:cs="Calibri"/>
            <w:bCs/>
            <w:color w:val="000000" w:themeColor="text1"/>
            <w:u w:val="none"/>
          </w:rPr>
          <w:t>89/17</w:t>
        </w:r>
      </w:hyperlink>
      <w:r w:rsidR="003A1EA7" w:rsidRPr="003A1EA7">
        <w:rPr>
          <w:rFonts w:ascii="Calibri" w:hAnsi="Calibri" w:cs="Calibri"/>
          <w:color w:val="000000" w:themeColor="text1"/>
        </w:rPr>
        <w:t>, </w:t>
      </w:r>
      <w:hyperlink r:id="rId48" w:history="1">
        <w:r w:rsidR="003A1EA7" w:rsidRPr="003A1EA7">
          <w:rPr>
            <w:rStyle w:val="Hiperveza"/>
            <w:rFonts w:ascii="Calibri" w:hAnsi="Calibri" w:cs="Calibri"/>
            <w:bCs/>
            <w:color w:val="000000" w:themeColor="text1"/>
            <w:u w:val="none"/>
          </w:rPr>
          <w:t>52/18</w:t>
        </w:r>
      </w:hyperlink>
      <w:r w:rsidR="003A1EA7" w:rsidRPr="003A1EA7">
        <w:rPr>
          <w:rFonts w:ascii="Calibri" w:hAnsi="Calibri" w:cs="Calibri"/>
          <w:color w:val="000000" w:themeColor="text1"/>
        </w:rPr>
        <w:t>, </w:t>
      </w:r>
      <w:hyperlink r:id="rId49" w:tgtFrame="_blank" w:history="1">
        <w:r w:rsidR="003A1EA7" w:rsidRPr="003A1EA7">
          <w:rPr>
            <w:rStyle w:val="Hiperveza"/>
            <w:rFonts w:ascii="Calibri" w:hAnsi="Calibri" w:cs="Calibri"/>
            <w:bCs/>
            <w:color w:val="000000" w:themeColor="text1"/>
            <w:u w:val="none"/>
          </w:rPr>
          <w:t>112/18</w:t>
        </w:r>
      </w:hyperlink>
      <w:r w:rsidR="00E45A21" w:rsidRPr="00924ED6">
        <w:rPr>
          <w:color w:val="414145"/>
          <w:sz w:val="17"/>
          <w:szCs w:val="17"/>
          <w:shd w:val="clear" w:color="auto" w:fill="E4E4E7"/>
        </w:rPr>
        <w:t xml:space="preserve">, </w:t>
      </w:r>
      <w:r w:rsidR="00E45A21" w:rsidRPr="00924ED6">
        <w:rPr>
          <w:shd w:val="clear" w:color="auto" w:fill="E4E4E7"/>
        </w:rPr>
        <w:t>155/23).</w:t>
      </w:r>
    </w:p>
    <w:p w14:paraId="567A6887" w14:textId="77777777" w:rsidR="00440861" w:rsidRPr="00B25803" w:rsidRDefault="00440861" w:rsidP="00B25803">
      <w:pPr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r w:rsidRPr="00B25803">
        <w:rPr>
          <w:color w:val="000000"/>
        </w:rPr>
        <w:t>Zakon o pravu na pristup informacija</w:t>
      </w:r>
      <w:r w:rsidR="003A1EA7">
        <w:rPr>
          <w:color w:val="000000"/>
        </w:rPr>
        <w:t>ma (»Narodne novine«, broj 25/</w:t>
      </w:r>
      <w:r w:rsidRPr="00B25803">
        <w:rPr>
          <w:color w:val="000000"/>
        </w:rPr>
        <w:t>13</w:t>
      </w:r>
      <w:r w:rsidR="003A1EA7">
        <w:rPr>
          <w:color w:val="000000"/>
        </w:rPr>
        <w:t xml:space="preserve">, </w:t>
      </w:r>
      <w:hyperlink r:id="rId50" w:tgtFrame="_blank" w:history="1">
        <w:r w:rsidR="003A1EA7" w:rsidRPr="003A1EA7">
          <w:rPr>
            <w:rStyle w:val="Hiperveza"/>
            <w:rFonts w:ascii="Calibri" w:hAnsi="Calibri" w:cs="Calibri"/>
            <w:bCs/>
            <w:color w:val="000000" w:themeColor="text1"/>
            <w:u w:val="none"/>
          </w:rPr>
          <w:t>85/15</w:t>
        </w:r>
      </w:hyperlink>
      <w:r w:rsidR="003A1EA7" w:rsidRPr="003A1EA7">
        <w:rPr>
          <w:rFonts w:ascii="Calibri" w:hAnsi="Calibri" w:cs="Calibri"/>
          <w:color w:val="000000" w:themeColor="text1"/>
        </w:rPr>
        <w:t>, </w:t>
      </w:r>
      <w:hyperlink r:id="rId51" w:tgtFrame="_blank" w:history="1">
        <w:r w:rsidR="003A1EA7" w:rsidRPr="003A1EA7">
          <w:rPr>
            <w:rStyle w:val="Hiperveza"/>
            <w:rFonts w:ascii="Calibri" w:hAnsi="Calibri" w:cs="Calibri"/>
            <w:bCs/>
            <w:color w:val="000000" w:themeColor="text1"/>
            <w:u w:val="none"/>
          </w:rPr>
          <w:t>69/22</w:t>
        </w:r>
      </w:hyperlink>
      <w:r w:rsidRPr="00B25803">
        <w:rPr>
          <w:color w:val="000000"/>
        </w:rPr>
        <w:t>)</w:t>
      </w:r>
    </w:p>
    <w:p w14:paraId="3108F157" w14:textId="77777777" w:rsidR="00607AF8" w:rsidRDefault="00607AF8" w:rsidP="00B25803">
      <w:pPr>
        <w:spacing w:after="0" w:line="240" w:lineRule="auto"/>
        <w:jc w:val="both"/>
        <w:rPr>
          <w:color w:val="000000"/>
        </w:rPr>
      </w:pPr>
    </w:p>
    <w:p w14:paraId="3F1F5878" w14:textId="77777777" w:rsidR="00B25803" w:rsidRPr="00B25803" w:rsidRDefault="00B25803" w:rsidP="00B25803">
      <w:pPr>
        <w:spacing w:after="0" w:line="240" w:lineRule="auto"/>
        <w:jc w:val="both"/>
        <w:rPr>
          <w:color w:val="000000"/>
        </w:rPr>
      </w:pPr>
    </w:p>
    <w:p w14:paraId="3091C079" w14:textId="77777777" w:rsidR="00607AF8" w:rsidRPr="00B25803" w:rsidRDefault="00607AF8" w:rsidP="00B25803">
      <w:pPr>
        <w:spacing w:after="0" w:line="240" w:lineRule="auto"/>
        <w:jc w:val="both"/>
        <w:rPr>
          <w:b/>
          <w:color w:val="000000"/>
        </w:rPr>
      </w:pPr>
      <w:r w:rsidRPr="00B25803">
        <w:rPr>
          <w:color w:val="000000"/>
        </w:rPr>
        <w:t xml:space="preserve">                                                                                                  </w:t>
      </w:r>
      <w:r w:rsidRPr="00B25803">
        <w:rPr>
          <w:b/>
          <w:color w:val="000000"/>
        </w:rPr>
        <w:t>PREDSJEDNIK</w:t>
      </w:r>
    </w:p>
    <w:p w14:paraId="6291A35E" w14:textId="77777777" w:rsidR="00607AF8" w:rsidRDefault="00607AF8" w:rsidP="00B25803">
      <w:pPr>
        <w:spacing w:after="0" w:line="240" w:lineRule="auto"/>
        <w:jc w:val="both"/>
        <w:rPr>
          <w:b/>
          <w:color w:val="000000"/>
        </w:rPr>
      </w:pPr>
      <w:r w:rsidRPr="00B25803">
        <w:rPr>
          <w:b/>
          <w:color w:val="000000"/>
        </w:rPr>
        <w:t xml:space="preserve">                                                                                               GRADSKOG VIJEĆA</w:t>
      </w:r>
    </w:p>
    <w:p w14:paraId="08353CF2" w14:textId="77777777" w:rsidR="00EB033A" w:rsidRPr="00B25803" w:rsidRDefault="00EB033A" w:rsidP="00B25803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Stjepan Topalović</w:t>
      </w:r>
    </w:p>
    <w:p w14:paraId="7D6FC3B0" w14:textId="77777777" w:rsidR="00607AF8" w:rsidRPr="00B25803" w:rsidRDefault="00607AF8" w:rsidP="00B25803">
      <w:pPr>
        <w:spacing w:after="0" w:line="240" w:lineRule="auto"/>
        <w:jc w:val="both"/>
        <w:rPr>
          <w:b/>
          <w:color w:val="000000"/>
        </w:rPr>
      </w:pPr>
      <w:r w:rsidRPr="00B25803">
        <w:rPr>
          <w:b/>
          <w:color w:val="000000"/>
        </w:rPr>
        <w:t xml:space="preserve">                                                                                               </w:t>
      </w:r>
    </w:p>
    <w:sectPr w:rsidR="00607AF8" w:rsidRPr="00B25803" w:rsidSect="00AE133B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A396" w14:textId="77777777" w:rsidR="00DD71BB" w:rsidRDefault="00DD71BB" w:rsidP="00836052">
      <w:pPr>
        <w:spacing w:after="0" w:line="240" w:lineRule="auto"/>
      </w:pPr>
      <w:r>
        <w:separator/>
      </w:r>
    </w:p>
  </w:endnote>
  <w:endnote w:type="continuationSeparator" w:id="0">
    <w:p w14:paraId="5FD5D380" w14:textId="77777777" w:rsidR="00DD71BB" w:rsidRDefault="00DD71BB" w:rsidP="0083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1D60" w14:textId="77777777" w:rsidR="00EB033A" w:rsidRDefault="00EB03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730907"/>
      <w:docPartObj>
        <w:docPartGallery w:val="Page Numbers (Bottom of Page)"/>
        <w:docPartUnique/>
      </w:docPartObj>
    </w:sdtPr>
    <w:sdtContent>
      <w:p w14:paraId="3C243BF5" w14:textId="77777777" w:rsidR="00EB033A" w:rsidRDefault="00EB033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1CF161" w14:textId="77777777" w:rsidR="00EB033A" w:rsidRDefault="00EB033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B7D3" w14:textId="77777777" w:rsidR="00EB033A" w:rsidRDefault="00EB03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78FD" w14:textId="77777777" w:rsidR="00DD71BB" w:rsidRDefault="00DD71BB" w:rsidP="00836052">
      <w:pPr>
        <w:spacing w:after="0" w:line="240" w:lineRule="auto"/>
      </w:pPr>
      <w:r>
        <w:separator/>
      </w:r>
    </w:p>
  </w:footnote>
  <w:footnote w:type="continuationSeparator" w:id="0">
    <w:p w14:paraId="2501BF5E" w14:textId="77777777" w:rsidR="00DD71BB" w:rsidRDefault="00DD71BB" w:rsidP="0083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DAC0" w14:textId="77777777" w:rsidR="00EB033A" w:rsidRDefault="00EB03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3E5D" w14:textId="77777777" w:rsidR="00EB033A" w:rsidRDefault="00EB033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1093" w14:textId="77777777" w:rsidR="00EB033A" w:rsidRDefault="00EB03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5E"/>
    <w:multiLevelType w:val="hybridMultilevel"/>
    <w:tmpl w:val="F90E4D74"/>
    <w:lvl w:ilvl="0" w:tplc="D612EAD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917F4"/>
    <w:multiLevelType w:val="hybridMultilevel"/>
    <w:tmpl w:val="CD1E8BE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28495A"/>
    <w:multiLevelType w:val="hybridMultilevel"/>
    <w:tmpl w:val="20C8FD30"/>
    <w:lvl w:ilvl="0" w:tplc="2CDEA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A37"/>
    <w:multiLevelType w:val="hybridMultilevel"/>
    <w:tmpl w:val="3F6A4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11A3E"/>
    <w:multiLevelType w:val="hybridMultilevel"/>
    <w:tmpl w:val="6664AA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5140"/>
    <w:multiLevelType w:val="hybridMultilevel"/>
    <w:tmpl w:val="A92CA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451F"/>
    <w:multiLevelType w:val="hybridMultilevel"/>
    <w:tmpl w:val="BF4661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CF4CEA"/>
    <w:multiLevelType w:val="hybridMultilevel"/>
    <w:tmpl w:val="CA62B924"/>
    <w:lvl w:ilvl="0" w:tplc="1EA61848">
      <w:start w:val="1"/>
      <w:numFmt w:val="decimal"/>
      <w:lvlText w:val="%1."/>
      <w:lvlJc w:val="left"/>
      <w:pPr>
        <w:ind w:left="1140" w:hanging="360"/>
      </w:p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1B268ED"/>
    <w:multiLevelType w:val="hybridMultilevel"/>
    <w:tmpl w:val="E6004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4"/>
    <w:multiLevelType w:val="hybridMultilevel"/>
    <w:tmpl w:val="80CC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4B77F2"/>
    <w:multiLevelType w:val="hybridMultilevel"/>
    <w:tmpl w:val="9F48F3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315DE1"/>
    <w:multiLevelType w:val="hybridMultilevel"/>
    <w:tmpl w:val="354E5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620F9"/>
    <w:multiLevelType w:val="hybridMultilevel"/>
    <w:tmpl w:val="3880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C1CBB"/>
    <w:multiLevelType w:val="hybridMultilevel"/>
    <w:tmpl w:val="A7D41C98"/>
    <w:lvl w:ilvl="0" w:tplc="F8964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04DB2"/>
    <w:multiLevelType w:val="hybridMultilevel"/>
    <w:tmpl w:val="D522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5C09"/>
    <w:multiLevelType w:val="hybridMultilevel"/>
    <w:tmpl w:val="4F561DA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3D29"/>
    <w:multiLevelType w:val="hybridMultilevel"/>
    <w:tmpl w:val="6658C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AC0BD3"/>
    <w:multiLevelType w:val="hybridMultilevel"/>
    <w:tmpl w:val="9EEA0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E5D4E"/>
    <w:multiLevelType w:val="hybridMultilevel"/>
    <w:tmpl w:val="7B201A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197E48"/>
    <w:multiLevelType w:val="hybridMultilevel"/>
    <w:tmpl w:val="C67ADDF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146409"/>
    <w:multiLevelType w:val="hybridMultilevel"/>
    <w:tmpl w:val="DD0EFA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D7E27"/>
    <w:multiLevelType w:val="hybridMultilevel"/>
    <w:tmpl w:val="FBA0C03A"/>
    <w:lvl w:ilvl="0" w:tplc="F8964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872B8"/>
    <w:multiLevelType w:val="hybridMultilevel"/>
    <w:tmpl w:val="A21818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850C5"/>
    <w:multiLevelType w:val="hybridMultilevel"/>
    <w:tmpl w:val="B1A82B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0262322">
    <w:abstractNumId w:val="15"/>
  </w:num>
  <w:num w:numId="2" w16cid:durableId="7691563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00373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178393">
    <w:abstractNumId w:val="20"/>
  </w:num>
  <w:num w:numId="5" w16cid:durableId="261424666">
    <w:abstractNumId w:val="5"/>
  </w:num>
  <w:num w:numId="6" w16cid:durableId="475876800">
    <w:abstractNumId w:val="8"/>
  </w:num>
  <w:num w:numId="7" w16cid:durableId="1948778534">
    <w:abstractNumId w:val="12"/>
  </w:num>
  <w:num w:numId="8" w16cid:durableId="77725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829477">
    <w:abstractNumId w:val="1"/>
  </w:num>
  <w:num w:numId="10" w16cid:durableId="2144538485">
    <w:abstractNumId w:val="18"/>
  </w:num>
  <w:num w:numId="11" w16cid:durableId="1699550037">
    <w:abstractNumId w:val="17"/>
  </w:num>
  <w:num w:numId="12" w16cid:durableId="1368945572">
    <w:abstractNumId w:val="14"/>
  </w:num>
  <w:num w:numId="13" w16cid:durableId="957565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719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145241">
    <w:abstractNumId w:val="22"/>
  </w:num>
  <w:num w:numId="16" w16cid:durableId="912548447">
    <w:abstractNumId w:val="4"/>
  </w:num>
  <w:num w:numId="17" w16cid:durableId="2022075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0698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0919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8631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18541">
    <w:abstractNumId w:val="21"/>
  </w:num>
  <w:num w:numId="22" w16cid:durableId="1198347863">
    <w:abstractNumId w:val="13"/>
  </w:num>
  <w:num w:numId="23" w16cid:durableId="1455054149">
    <w:abstractNumId w:val="15"/>
  </w:num>
  <w:num w:numId="24" w16cid:durableId="837237549">
    <w:abstractNumId w:val="19"/>
  </w:num>
  <w:num w:numId="25" w16cid:durableId="2122920962">
    <w:abstractNumId w:val="0"/>
  </w:num>
  <w:num w:numId="26" w16cid:durableId="160996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2"/>
    <w:rsid w:val="0003039D"/>
    <w:rsid w:val="000319C7"/>
    <w:rsid w:val="000C4468"/>
    <w:rsid w:val="00106906"/>
    <w:rsid w:val="00125A5C"/>
    <w:rsid w:val="00162321"/>
    <w:rsid w:val="00170ADB"/>
    <w:rsid w:val="00174AAC"/>
    <w:rsid w:val="001A354D"/>
    <w:rsid w:val="001D6979"/>
    <w:rsid w:val="001E1620"/>
    <w:rsid w:val="001F11F3"/>
    <w:rsid w:val="0023710F"/>
    <w:rsid w:val="00242290"/>
    <w:rsid w:val="00246DE8"/>
    <w:rsid w:val="00283095"/>
    <w:rsid w:val="00290A46"/>
    <w:rsid w:val="002A35D5"/>
    <w:rsid w:val="002D650D"/>
    <w:rsid w:val="00374E5A"/>
    <w:rsid w:val="003811C0"/>
    <w:rsid w:val="003A1EA7"/>
    <w:rsid w:val="003F135E"/>
    <w:rsid w:val="003F6DE3"/>
    <w:rsid w:val="0040543F"/>
    <w:rsid w:val="00424932"/>
    <w:rsid w:val="00440861"/>
    <w:rsid w:val="004577B3"/>
    <w:rsid w:val="00496857"/>
    <w:rsid w:val="005745CD"/>
    <w:rsid w:val="005E71BB"/>
    <w:rsid w:val="00607AF8"/>
    <w:rsid w:val="00632F20"/>
    <w:rsid w:val="0067089B"/>
    <w:rsid w:val="00672E81"/>
    <w:rsid w:val="006B55C0"/>
    <w:rsid w:val="007000F9"/>
    <w:rsid w:val="007124CB"/>
    <w:rsid w:val="00783F47"/>
    <w:rsid w:val="007C6965"/>
    <w:rsid w:val="007C7533"/>
    <w:rsid w:val="00820CA5"/>
    <w:rsid w:val="00836052"/>
    <w:rsid w:val="00836EE6"/>
    <w:rsid w:val="008637CF"/>
    <w:rsid w:val="008B318F"/>
    <w:rsid w:val="008C797D"/>
    <w:rsid w:val="009011E3"/>
    <w:rsid w:val="00924ED6"/>
    <w:rsid w:val="00930040"/>
    <w:rsid w:val="00956318"/>
    <w:rsid w:val="009858DD"/>
    <w:rsid w:val="00987973"/>
    <w:rsid w:val="00994D4C"/>
    <w:rsid w:val="00A02466"/>
    <w:rsid w:val="00A5068E"/>
    <w:rsid w:val="00A65E2D"/>
    <w:rsid w:val="00AE133B"/>
    <w:rsid w:val="00AE2463"/>
    <w:rsid w:val="00AE7676"/>
    <w:rsid w:val="00AF5101"/>
    <w:rsid w:val="00B03A9C"/>
    <w:rsid w:val="00B25803"/>
    <w:rsid w:val="00B81054"/>
    <w:rsid w:val="00B86F94"/>
    <w:rsid w:val="00BA667E"/>
    <w:rsid w:val="00BC6FEC"/>
    <w:rsid w:val="00C22300"/>
    <w:rsid w:val="00C37D1D"/>
    <w:rsid w:val="00CA579B"/>
    <w:rsid w:val="00CB275F"/>
    <w:rsid w:val="00CC67E0"/>
    <w:rsid w:val="00CE4843"/>
    <w:rsid w:val="00CF6828"/>
    <w:rsid w:val="00D013A6"/>
    <w:rsid w:val="00D15153"/>
    <w:rsid w:val="00D2181E"/>
    <w:rsid w:val="00D93BCD"/>
    <w:rsid w:val="00DC1E18"/>
    <w:rsid w:val="00DD71BB"/>
    <w:rsid w:val="00E26509"/>
    <w:rsid w:val="00E45A21"/>
    <w:rsid w:val="00E615DB"/>
    <w:rsid w:val="00E66D40"/>
    <w:rsid w:val="00EB033A"/>
    <w:rsid w:val="00EB1678"/>
    <w:rsid w:val="00EB373F"/>
    <w:rsid w:val="00F13CF4"/>
    <w:rsid w:val="00F27AE0"/>
    <w:rsid w:val="00F326D5"/>
    <w:rsid w:val="00F66B0D"/>
    <w:rsid w:val="00FA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162E"/>
  <w15:docId w15:val="{103564A1-770A-4CBA-8AFC-316408E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6052"/>
  </w:style>
  <w:style w:type="paragraph" w:styleId="Podnoje">
    <w:name w:val="footer"/>
    <w:basedOn w:val="Normal"/>
    <w:link w:val="PodnojeChar"/>
    <w:uiPriority w:val="99"/>
    <w:unhideWhenUsed/>
    <w:rsid w:val="008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6052"/>
  </w:style>
  <w:style w:type="table" w:styleId="Reetkatablice">
    <w:name w:val="Table Grid"/>
    <w:basedOn w:val="Obinatablica"/>
    <w:uiPriority w:val="39"/>
    <w:rsid w:val="00AE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440861"/>
    <w:rPr>
      <w:rFonts w:ascii="Times New Roman" w:hAnsi="Times New Roman" w:cs="Times New Roman" w:hint="default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4086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229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9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54364" TargetMode="External"/><Relationship Id="rId18" Type="http://schemas.openxmlformats.org/officeDocument/2006/relationships/hyperlink" Target="https://www.zakon.hr/cms.htm?id=17767" TargetMode="External"/><Relationship Id="rId26" Type="http://schemas.openxmlformats.org/officeDocument/2006/relationships/hyperlink" Target="https://www.zakon.hr/cms.htm?id=53935" TargetMode="External"/><Relationship Id="rId39" Type="http://schemas.openxmlformats.org/officeDocument/2006/relationships/hyperlink" Target="https://www.zakon.hr/cms.htm?id=18753" TargetMode="External"/><Relationship Id="rId21" Type="http://schemas.openxmlformats.org/officeDocument/2006/relationships/hyperlink" Target="https://www.zakon.hr/cms.htm?id=31267" TargetMode="External"/><Relationship Id="rId34" Type="http://schemas.openxmlformats.org/officeDocument/2006/relationships/hyperlink" Target="https://www.zakon.hr/cms.htm?id=54070" TargetMode="External"/><Relationship Id="rId42" Type="http://schemas.openxmlformats.org/officeDocument/2006/relationships/hyperlink" Target="https://www.zakon.hr/cms.htm?id=15727" TargetMode="External"/><Relationship Id="rId47" Type="http://schemas.openxmlformats.org/officeDocument/2006/relationships/hyperlink" Target="https://www.zakon.hr/cms.htm?id=19357" TargetMode="External"/><Relationship Id="rId50" Type="http://schemas.openxmlformats.org/officeDocument/2006/relationships/hyperlink" Target="http://www.zakon.hr/cms.htm?id=12101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9341" TargetMode="External"/><Relationship Id="rId29" Type="http://schemas.openxmlformats.org/officeDocument/2006/relationships/hyperlink" Target="https://www.zakon.hr/cms.htm?id=18039" TargetMode="External"/><Relationship Id="rId11" Type="http://schemas.openxmlformats.org/officeDocument/2006/relationships/hyperlink" Target="https://www.zakon.hr/cms.htm?id=53467" TargetMode="External"/><Relationship Id="rId24" Type="http://schemas.openxmlformats.org/officeDocument/2006/relationships/hyperlink" Target="https://www.zakon.hr/cms.htm?id=27649" TargetMode="External"/><Relationship Id="rId32" Type="http://schemas.openxmlformats.org/officeDocument/2006/relationships/hyperlink" Target="https://www.zakon.hr/cms.htm?id=44587" TargetMode="External"/><Relationship Id="rId37" Type="http://schemas.openxmlformats.org/officeDocument/2006/relationships/hyperlink" Target="https://www.zakon.hr/cms.htm?id=54121" TargetMode="External"/><Relationship Id="rId40" Type="http://schemas.openxmlformats.org/officeDocument/2006/relationships/hyperlink" Target="https://www.zakon.hr/cms.htm?id=40695" TargetMode="External"/><Relationship Id="rId45" Type="http://schemas.openxmlformats.org/officeDocument/2006/relationships/hyperlink" Target="https://www.zakon.hr/cms.htm?id=46702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zakon.hr/cms.htm?id=39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3467" TargetMode="External"/><Relationship Id="rId14" Type="http://schemas.openxmlformats.org/officeDocument/2006/relationships/hyperlink" Target="https://www.zakon.hr/cms.htm?id=18547" TargetMode="External"/><Relationship Id="rId22" Type="http://schemas.openxmlformats.org/officeDocument/2006/relationships/hyperlink" Target="https://www.zakon.hr/cms.htm?id=45871" TargetMode="External"/><Relationship Id="rId27" Type="http://schemas.openxmlformats.org/officeDocument/2006/relationships/hyperlink" Target="https://www.zakon.hr/cms.htm?id=55162" TargetMode="External"/><Relationship Id="rId30" Type="http://schemas.openxmlformats.org/officeDocument/2006/relationships/hyperlink" Target="https://www.zakon.hr/cms.htm?id=32479" TargetMode="External"/><Relationship Id="rId35" Type="http://schemas.openxmlformats.org/officeDocument/2006/relationships/hyperlink" Target="https://www.zakon.hr/cms.htm?id=50851" TargetMode="External"/><Relationship Id="rId43" Type="http://schemas.openxmlformats.org/officeDocument/2006/relationships/hyperlink" Target="https://www.zakon.hr/cms.htm?id=26157" TargetMode="External"/><Relationship Id="rId48" Type="http://schemas.openxmlformats.org/officeDocument/2006/relationships/hyperlink" Target="https://www.zakon.hr/z/436/Zakon-o-upravljanju-dr%C5%BEavnom-imovinom" TargetMode="External"/><Relationship Id="rId56" Type="http://schemas.openxmlformats.org/officeDocument/2006/relationships/header" Target="header3.xml"/><Relationship Id="rId8" Type="http://schemas.openxmlformats.org/officeDocument/2006/relationships/hyperlink" Target="https://www.zakon.hr/cms.htm?id=53464" TargetMode="External"/><Relationship Id="rId51" Type="http://schemas.openxmlformats.org/officeDocument/2006/relationships/hyperlink" Target="https://www.zakon.hr/cms.htm?id=527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zakon.hr/cms.htm?id=54367" TargetMode="External"/><Relationship Id="rId17" Type="http://schemas.openxmlformats.org/officeDocument/2006/relationships/hyperlink" Target="https://www.zakon.hr/cms.htm?id=40773" TargetMode="External"/><Relationship Id="rId25" Type="http://schemas.openxmlformats.org/officeDocument/2006/relationships/hyperlink" Target="https://www.zakon.hr/cms.htm?id=50485" TargetMode="External"/><Relationship Id="rId33" Type="http://schemas.openxmlformats.org/officeDocument/2006/relationships/hyperlink" Target="https://www.zakon.hr/cms.htm?id=50296" TargetMode="External"/><Relationship Id="rId38" Type="http://schemas.openxmlformats.org/officeDocument/2006/relationships/hyperlink" Target="https://www.zakon.hr/cms.htm?id=55690" TargetMode="External"/><Relationship Id="rId46" Type="http://schemas.openxmlformats.org/officeDocument/2006/relationships/hyperlink" Target="http://www.zakon.hr/cms.htm?id=15925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zakon.hr/cms.htm?id=42213" TargetMode="External"/><Relationship Id="rId41" Type="http://schemas.openxmlformats.org/officeDocument/2006/relationships/hyperlink" Target="https://www.zakon.hr/cms.htm?id=285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zakon.hr/cms.htm?id=35875" TargetMode="External"/><Relationship Id="rId23" Type="http://schemas.openxmlformats.org/officeDocument/2006/relationships/hyperlink" Target="https://www.zakon.hr/cms.htm?id=12058" TargetMode="External"/><Relationship Id="rId28" Type="http://schemas.openxmlformats.org/officeDocument/2006/relationships/hyperlink" Target="https://www.zakon.hr/cms.htm?id=12778" TargetMode="External"/><Relationship Id="rId36" Type="http://schemas.openxmlformats.org/officeDocument/2006/relationships/hyperlink" Target="https://www.zakon.hr/cms.htm?id=54142" TargetMode="External"/><Relationship Id="rId49" Type="http://schemas.openxmlformats.org/officeDocument/2006/relationships/hyperlink" Target="https://www.zakon.hr/z/1647/Zakon-o-Sredi%C5%A1njem-registru-dr%C5%BEavne-imovine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www.zakon.hr/cms.htm?id=53464" TargetMode="External"/><Relationship Id="rId31" Type="http://schemas.openxmlformats.org/officeDocument/2006/relationships/hyperlink" Target="https://www.zakon.hr/cms.htm?id=43443" TargetMode="External"/><Relationship Id="rId44" Type="http://schemas.openxmlformats.org/officeDocument/2006/relationships/hyperlink" Target="https://www.zakon.hr/cms.htm?id=40763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6473-EA1D-475C-9ACC-9961FBA1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2324</Words>
  <Characters>13251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Radni</dc:creator>
  <cp:lastModifiedBy>Stjepan Abramović</cp:lastModifiedBy>
  <cp:revision>2</cp:revision>
  <cp:lastPrinted>2023-12-20T14:21:00Z</cp:lastPrinted>
  <dcterms:created xsi:type="dcterms:W3CDTF">2025-01-16T10:14:00Z</dcterms:created>
  <dcterms:modified xsi:type="dcterms:W3CDTF">2025-01-16T10:14:00Z</dcterms:modified>
</cp:coreProperties>
</file>